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10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10984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Schweitzer John Arthur</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1" w:lineRule="auto"/>
        <w:rPr>
          <w:sz w:val="20"/>
          <w:szCs w:val="20"/>
          <w:color w:val="auto"/>
        </w:rPr>
      </w:pPr>
      <w:r>
        <w:rPr>
          <w:rFonts w:ascii="Times New Roman" w:cs="Times New Roman" w:eastAsia="Times New Roman" w:hAnsi="Times New Roman"/>
          <w:sz w:val="16"/>
          <w:szCs w:val="16"/>
          <w:color w:val="0000FF"/>
        </w:rPr>
        <w:t>C/O CCC INTELLIGENT SOLUITONS HOLDINGS 167 N. GREEN STREET, 9TH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CHICAGO</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CCC Intelligent Solutions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CCC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05/21/2026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20" w:space="1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05/21/2026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11,221</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11,221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3"/>
          </w:tcPr>
          <w:p>
            <w:pPr>
              <w:jc w:val="right"/>
              <w:ind w:right="462"/>
              <w:spacing w:after="0"/>
              <w:rPr>
                <w:sz w:val="20"/>
                <w:szCs w:val="20"/>
                <w:color w:val="auto"/>
              </w:rPr>
            </w:pPr>
            <w:r>
              <w:rPr>
                <w:rFonts w:ascii="Times New Roman" w:cs="Times New Roman" w:eastAsia="Times New Roman" w:hAnsi="Times New Roman"/>
                <w:sz w:val="16"/>
                <w:szCs w:val="16"/>
                <w:color w:val="0000FF"/>
              </w:rPr>
              <w:t>404</w:t>
            </w:r>
          </w:p>
        </w:tc>
        <w:tc>
          <w:tcPr>
            <w:tcW w:w="280" w:type="dxa"/>
            <w:vAlign w:val="bottom"/>
          </w:tcPr>
          <w:p>
            <w:pPr>
              <w:spacing w:after="0"/>
              <w:rPr>
                <w:sz w:val="22"/>
                <w:szCs w:val="2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11,221</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11,221</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55,067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55,067</w:t>
            </w:r>
          </w:p>
        </w:tc>
        <w:tc>
          <w:tcPr>
            <w:tcW w:w="500" w:type="dxa"/>
            <w:vAlign w:val="bottom"/>
          </w:tcPr>
          <w:p>
            <w:pPr>
              <w:spacing w:after="0"/>
              <w:rPr>
                <w:sz w:val="12"/>
                <w:szCs w:val="12"/>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55,067</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-2091055</wp:posOffset>
            </wp:positionV>
            <wp:extent cx="28575" cy="2096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61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22, 2026 and the date of the next annual meeting of the stockholders of the Issuer, generally subject to the Reporting Person's continued service to the Issuer through such vesting and settlement date.</w:t>
      </w:r>
    </w:p>
    <w:p>
      <w:pPr>
        <w:spacing w:after="0" w:line="26" w:lineRule="exact"/>
        <w:rPr>
          <w:rFonts w:ascii="Times New Roman" w:cs="Times New Roman" w:eastAsia="Times New Roman" w:hAnsi="Times New Roman"/>
          <w:sz w:val="13"/>
          <w:szCs w:val="13"/>
          <w:color w:val="008000"/>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21, 2027 and the date of the next annual meeting of the stockholders of the Issuer, generally subject to the Reporting Person's continued service to the Issuer through such vesting and settlement date.</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Charles C. Vos, attorney in</w:t>
            </w:r>
          </w:p>
        </w:tc>
        <w:tc>
          <w:tcPr>
            <w:tcW w:w="220" w:type="dxa"/>
            <w:vAlign w:val="bottom"/>
            <w:gridSpan w:val="2"/>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05/26/2026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fact for John Arthur Schweitzer</w:t>
            </w:r>
          </w:p>
        </w:tc>
        <w:tc>
          <w:tcPr>
            <w:tcW w:w="74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051"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2026-05-26T07:06:49Z</dcterms:created>
  <dcterms:modified xsi:type="dcterms:W3CDTF">2026-05-26T07:06:49Z</dcterms:modified>
</cp:coreProperties>
</file>