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7579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7579995"/>
                    </a:xfrm>
                    <a:prstGeom prst="rect">
                      <a:avLst/>
                    </a:prstGeom>
                    <a:noFill/>
                  </pic:spPr>
                </pic:pic>
              </a:graphicData>
            </a:graphic>
          </wp:anchor>
        </w:drawing>
      </w:r>
    </w:p>
    <w:p>
      <w:pPr>
        <w:spacing w:after="0" w:line="1197"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Christo Rodney</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60"/>
        <w:spacing w:after="0" w:line="366" w:lineRule="auto"/>
        <w:rPr>
          <w:sz w:val="20"/>
          <w:szCs w:val="20"/>
          <w:color w:val="auto"/>
        </w:rPr>
      </w:pPr>
      <w:r>
        <w:rPr>
          <w:rFonts w:ascii="Times New Roman" w:cs="Times New Roman" w:eastAsia="Times New Roman" w:hAnsi="Times New Roman"/>
          <w:sz w:val="16"/>
          <w:szCs w:val="16"/>
          <w:color w:val="0000FF"/>
        </w:rPr>
        <w:t>C/O CCC INTELLIGENT SOLUTIONS HOLDINGS 167 N. GREEN STREET, 9TH FLOOR</w:t>
      </w: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IL</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60607</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CCC Intelligent Solutions Holdings Inc. </w:t>
              </w:r>
            </w:hyperlink>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2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 xml:space="preserve">CCC </w:t>
            </w:r>
            <w:r>
              <w:rPr>
                <w:rFonts w:ascii="Times New Roman" w:cs="Times New Roman" w:eastAsia="Times New Roman" w:hAnsi="Times New Roman"/>
                <w:sz w:val="20"/>
                <w:szCs w:val="20"/>
                <w:color w:val="000000"/>
              </w:rPr>
              <w:t>]</w:t>
            </w:r>
          </w:p>
        </w:tc>
        <w:tc>
          <w:tcPr>
            <w:tcW w:w="5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2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20"/>
              <w:spacing w:after="0"/>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20" w:type="dxa"/>
            <w:vAlign w:val="bottom"/>
            <w:gridSpan w:val="2"/>
          </w:tcPr>
          <w:p>
            <w:pPr>
              <w:ind w:left="640"/>
              <w:spacing w:after="0" w:line="176" w:lineRule="exact"/>
              <w:rPr>
                <w:sz w:val="20"/>
                <w:szCs w:val="20"/>
                <w:color w:val="auto"/>
              </w:rPr>
            </w:pPr>
            <w:r>
              <w:rPr>
                <w:rFonts w:ascii="Times New Roman" w:cs="Times New Roman" w:eastAsia="Times New Roman" w:hAnsi="Times New Roman"/>
                <w:sz w:val="16"/>
                <w:szCs w:val="16"/>
                <w:color w:val="0000FF"/>
              </w:rPr>
              <w:t>Chief Accounting Officer</w:t>
            </w:r>
          </w:p>
        </w:tc>
        <w:tc>
          <w:tcPr>
            <w:tcW w:w="0" w:type="dxa"/>
            <w:vAlign w:val="bottom"/>
          </w:tcPr>
          <w:p>
            <w:pPr>
              <w:spacing w:after="0"/>
              <w:rPr>
                <w:sz w:val="1"/>
                <w:szCs w:val="1"/>
                <w:color w:val="auto"/>
              </w:rPr>
            </w:pPr>
          </w:p>
        </w:tc>
      </w:tr>
      <w:tr>
        <w:trPr>
          <w:trHeight w:val="214"/>
        </w:trPr>
        <w:tc>
          <w:tcPr>
            <w:tcW w:w="3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03/06/2026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12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0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jc w:val="center"/>
              <w:ind w:left="629"/>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03/06/2026</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4"/>
                <w:vertAlign w:val="subscript"/>
              </w:rPr>
              <w:t>A</w:t>
            </w:r>
            <w:r>
              <w:rPr>
                <w:rFonts w:ascii="Times New Roman" w:cs="Times New Roman" w:eastAsia="Times New Roman" w:hAnsi="Times New Roman"/>
                <w:sz w:val="10"/>
                <w:szCs w:val="10"/>
                <w:color w:val="008000"/>
                <w:w w:val="84"/>
              </w:rPr>
              <w:t>(1)</w:t>
            </w: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6"/>
                <w:szCs w:val="16"/>
                <w:color w:val="0000FF"/>
              </w:rPr>
              <w:t>15,067</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15,067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31"/>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03/06/2026</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4"/>
                <w:vertAlign w:val="subscript"/>
              </w:rPr>
              <w:t>A</w:t>
            </w:r>
            <w:r>
              <w:rPr>
                <w:rFonts w:ascii="Times New Roman" w:cs="Times New Roman" w:eastAsia="Times New Roman" w:hAnsi="Times New Roman"/>
                <w:sz w:val="10"/>
                <w:szCs w:val="10"/>
                <w:color w:val="008000"/>
                <w:w w:val="84"/>
              </w:rPr>
              <w:t>(2)</w:t>
            </w: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6"/>
                <w:szCs w:val="16"/>
                <w:color w:val="0000FF"/>
              </w:rPr>
              <w:t>26,447</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41,514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31"/>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Pr>
          <w:p>
            <w:pPr>
              <w:spacing w:after="0"/>
              <w:rPr>
                <w:sz w:val="22"/>
                <w:szCs w:val="22"/>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03/06/2026</w:t>
            </w: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rPr>
              <w:t>9,854</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51,368</w:t>
            </w:r>
          </w:p>
        </w:tc>
        <w:tc>
          <w:tcPr>
            <w:tcW w:w="280" w:type="dxa"/>
            <w:vAlign w:val="bottom"/>
          </w:tcPr>
          <w:p>
            <w:pPr>
              <w:spacing w:after="0"/>
              <w:rPr>
                <w:sz w:val="22"/>
                <w:szCs w:val="22"/>
                <w:color w:val="auto"/>
              </w:rPr>
            </w:pPr>
          </w:p>
        </w:tc>
        <w:tc>
          <w:tcPr>
            <w:tcW w:w="640" w:type="dxa"/>
            <w:vAlign w:val="bottom"/>
          </w:tcPr>
          <w:p>
            <w:pPr>
              <w:jc w:val="center"/>
              <w:ind w:right="331"/>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Pr>
          <w:p>
            <w:pPr>
              <w:spacing w:after="0"/>
              <w:rPr>
                <w:sz w:val="22"/>
                <w:szCs w:val="22"/>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03/06/2026</w:t>
            </w: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rPr>
              <w:t>7,384</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58,752</w:t>
            </w:r>
          </w:p>
        </w:tc>
        <w:tc>
          <w:tcPr>
            <w:tcW w:w="280" w:type="dxa"/>
            <w:vAlign w:val="bottom"/>
          </w:tcPr>
          <w:p>
            <w:pPr>
              <w:spacing w:after="0"/>
              <w:rPr>
                <w:sz w:val="22"/>
                <w:szCs w:val="22"/>
                <w:color w:val="auto"/>
              </w:rPr>
            </w:pPr>
          </w:p>
        </w:tc>
        <w:tc>
          <w:tcPr>
            <w:tcW w:w="640" w:type="dxa"/>
            <w:vAlign w:val="bottom"/>
          </w:tcPr>
          <w:p>
            <w:pPr>
              <w:jc w:val="center"/>
              <w:ind w:right="331"/>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Pr>
          <w:p>
            <w:pPr>
              <w:spacing w:after="0"/>
              <w:rPr>
                <w:sz w:val="22"/>
                <w:szCs w:val="22"/>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03/06/2026</w:t>
            </w: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rPr>
              <w:t>12,478</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71,230</w:t>
            </w:r>
          </w:p>
        </w:tc>
        <w:tc>
          <w:tcPr>
            <w:tcW w:w="280" w:type="dxa"/>
            <w:vAlign w:val="bottom"/>
          </w:tcPr>
          <w:p>
            <w:pPr>
              <w:spacing w:after="0"/>
              <w:rPr>
                <w:sz w:val="22"/>
                <w:szCs w:val="22"/>
                <w:color w:val="auto"/>
              </w:rPr>
            </w:pPr>
          </w:p>
        </w:tc>
        <w:tc>
          <w:tcPr>
            <w:tcW w:w="640" w:type="dxa"/>
            <w:vAlign w:val="bottom"/>
          </w:tcPr>
          <w:p>
            <w:pPr>
              <w:jc w:val="center"/>
              <w:ind w:right="331"/>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Pr>
          <w:p>
            <w:pPr>
              <w:spacing w:after="0"/>
              <w:rPr>
                <w:sz w:val="22"/>
                <w:szCs w:val="22"/>
                <w:color w:val="auto"/>
              </w:rPr>
            </w:pPr>
          </w:p>
        </w:tc>
        <w:tc>
          <w:tcPr>
            <w:tcW w:w="1820" w:type="dxa"/>
            <w:vAlign w:val="bottom"/>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03/06/2026</w:t>
            </w: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rPr>
              <w:t>20,909</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6.26</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50,321</w:t>
            </w:r>
          </w:p>
        </w:tc>
        <w:tc>
          <w:tcPr>
            <w:tcW w:w="280" w:type="dxa"/>
            <w:vAlign w:val="bottom"/>
          </w:tcPr>
          <w:p>
            <w:pPr>
              <w:spacing w:after="0"/>
              <w:rPr>
                <w:sz w:val="22"/>
                <w:szCs w:val="22"/>
                <w:color w:val="auto"/>
              </w:rPr>
            </w:pPr>
          </w:p>
        </w:tc>
        <w:tc>
          <w:tcPr>
            <w:tcW w:w="640" w:type="dxa"/>
            <w:vAlign w:val="bottom"/>
          </w:tcPr>
          <w:p>
            <w:pPr>
              <w:jc w:val="center"/>
              <w:ind w:right="331"/>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49"/>
              <w:spacing w:after="0"/>
              <w:rPr>
                <w:sz w:val="20"/>
                <w:szCs w:val="20"/>
                <w:color w:val="auto"/>
              </w:rPr>
            </w:pPr>
            <w:r>
              <w:rPr>
                <w:rFonts w:ascii="Times New Roman" w:cs="Times New Roman" w:eastAsia="Times New Roman" w:hAnsi="Times New Roman"/>
                <w:sz w:val="16"/>
                <w:szCs w:val="16"/>
                <w:color w:val="0000FF"/>
              </w:rPr>
              <w:t>03/09/2026</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6"/>
                <w:szCs w:val="16"/>
                <w:color w:val="0000FF"/>
              </w:rPr>
              <w:t>50,321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6.13</w:t>
            </w:r>
            <w:r>
              <w:rPr>
                <w:rFonts w:ascii="Times New Roman" w:cs="Times New Roman" w:eastAsia="Times New Roman" w:hAnsi="Times New Roman"/>
                <w:sz w:val="20"/>
                <w:szCs w:val="20"/>
                <w:color w:val="008000"/>
                <w:w w:val="95"/>
                <w:vertAlign w:val="superscript"/>
              </w:rPr>
              <w:t>(3)</w:t>
            </w:r>
          </w:p>
        </w:tc>
        <w:tc>
          <w:tcPr>
            <w:tcW w:w="720" w:type="dxa"/>
            <w:vAlign w:val="bottom"/>
            <w:tcBorders>
              <w:bottom w:val="single" w:sz="8" w:color="2C2C2C"/>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w w:val="99"/>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331"/>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135,642</w:t>
            </w:r>
          </w:p>
        </w:tc>
        <w:tc>
          <w:tcPr>
            <w:tcW w:w="280" w:type="dxa"/>
            <w:vAlign w:val="bottom"/>
          </w:tcPr>
          <w:p>
            <w:pPr>
              <w:spacing w:after="0"/>
              <w:rPr>
                <w:sz w:val="21"/>
                <w:szCs w:val="21"/>
                <w:color w:val="auto"/>
              </w:rPr>
            </w:pPr>
          </w:p>
        </w:tc>
        <w:tc>
          <w:tcPr>
            <w:tcW w:w="640" w:type="dxa"/>
            <w:vAlign w:val="bottom"/>
          </w:tcPr>
          <w:p>
            <w:pPr>
              <w:jc w:val="center"/>
              <w:ind w:right="351"/>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Trust</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9"/>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8"/>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03/06/2026</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54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16,540</w:t>
            </w: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16,540</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60" w:type="dxa"/>
            <w:vAlign w:val="bottom"/>
            <w:tcBorders>
              <w:bottom w:val="single" w:sz="8" w:color="2C2C2C"/>
            </w:tcBorders>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0"/>
                <w:szCs w:val="20"/>
                <w:color w:val="008000"/>
                <w:vertAlign w:val="superscript"/>
              </w:rPr>
              <w:t>(4)</w:t>
            </w: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9,854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2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03/06/2026</w:t>
            </w:r>
          </w:p>
        </w:tc>
        <w:tc>
          <w:tcPr>
            <w:tcW w:w="1100" w:type="dxa"/>
            <w:vAlign w:val="bottom"/>
          </w:tcPr>
          <w:p>
            <w:pPr>
              <w:spacing w:after="0"/>
              <w:rPr>
                <w:sz w:val="6"/>
                <w:szCs w:val="6"/>
                <w:color w:val="auto"/>
              </w:rPr>
            </w:pPr>
          </w:p>
        </w:tc>
        <w:tc>
          <w:tcPr>
            <w:tcW w:w="72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6"/>
                <w:szCs w:val="6"/>
                <w:color w:val="auto"/>
              </w:rPr>
            </w:pPr>
          </w:p>
        </w:tc>
        <w:tc>
          <w:tcPr>
            <w:tcW w:w="4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9,854</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center"/>
              <w:ind w:left="201"/>
              <w:spacing w:after="0" w:line="139" w:lineRule="exact"/>
              <w:rPr>
                <w:sz w:val="20"/>
                <w:szCs w:val="20"/>
                <w:color w:val="auto"/>
              </w:rPr>
            </w:pPr>
            <w:r>
              <w:rPr>
                <w:rFonts w:ascii="Times New Roman" w:cs="Times New Roman" w:eastAsia="Times New Roman" w:hAnsi="Times New Roman"/>
                <w:sz w:val="13"/>
                <w:szCs w:val="13"/>
                <w:color w:val="0000FF"/>
                <w:w w:val="95"/>
              </w:rPr>
              <w:t>9,854</w:t>
            </w:r>
          </w:p>
        </w:tc>
        <w:tc>
          <w:tcPr>
            <w:tcW w:w="280" w:type="dxa"/>
            <w:vAlign w:val="bottom"/>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60" w:type="dxa"/>
            <w:vAlign w:val="bottom"/>
            <w:vMerge w:val="restart"/>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0"/>
                <w:szCs w:val="20"/>
                <w:color w:val="008000"/>
                <w:vertAlign w:val="superscript"/>
              </w:rPr>
              <w:t>(5)</w:t>
            </w: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7,384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2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03/06/2026</w:t>
            </w:r>
          </w:p>
        </w:tc>
        <w:tc>
          <w:tcPr>
            <w:tcW w:w="1100" w:type="dxa"/>
            <w:vAlign w:val="bottom"/>
          </w:tcPr>
          <w:p>
            <w:pPr>
              <w:spacing w:after="0"/>
              <w:rPr>
                <w:sz w:val="6"/>
                <w:szCs w:val="6"/>
                <w:color w:val="auto"/>
              </w:rPr>
            </w:pPr>
          </w:p>
        </w:tc>
        <w:tc>
          <w:tcPr>
            <w:tcW w:w="72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6"/>
                <w:szCs w:val="6"/>
                <w:color w:val="auto"/>
              </w:rPr>
            </w:pPr>
          </w:p>
        </w:tc>
        <w:tc>
          <w:tcPr>
            <w:tcW w:w="48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7,384</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14,768</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60" w:type="dxa"/>
            <w:vAlign w:val="bottom"/>
            <w:vMerge w:val="restart"/>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0"/>
                <w:szCs w:val="20"/>
                <w:color w:val="008000"/>
                <w:vertAlign w:val="superscript"/>
              </w:rPr>
              <w:t>(6)</w:t>
            </w: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12,478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03/06/2026</w:t>
            </w:r>
          </w:p>
        </w:tc>
        <w:tc>
          <w:tcPr>
            <w:tcW w:w="110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12,478</w:t>
            </w: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0"/>
                <w:szCs w:val="10"/>
                <w:color w:val="008000"/>
              </w:rPr>
              <w:t>(7)</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24,956</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0" w:type="dxa"/>
            <w:vAlign w:val="bottom"/>
            <w:vMerge w:val="restart"/>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0"/>
                <w:szCs w:val="20"/>
                <w:color w:val="008000"/>
                <w:vertAlign w:val="superscript"/>
              </w:rPr>
              <w:t>(7)</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31,949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03/06/2026</w:t>
            </w:r>
          </w:p>
        </w:tc>
        <w:tc>
          <w:tcPr>
            <w:tcW w:w="110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31,949</w:t>
            </w:r>
          </w:p>
        </w:tc>
        <w:tc>
          <w:tcPr>
            <w:tcW w:w="480" w:type="dxa"/>
            <w:vAlign w:val="bottom"/>
          </w:tcPr>
          <w:p>
            <w:pPr>
              <w:spacing w:after="0"/>
              <w:rPr>
                <w:sz w:val="12"/>
                <w:szCs w:val="12"/>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(8)</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31,949</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0" w:type="dxa"/>
            <w:vAlign w:val="bottom"/>
            <w:vMerge w:val="restart"/>
          </w:tcPr>
          <w:p>
            <w:pPr>
              <w:ind w:left="60"/>
              <w:spacing w:after="0" w:line="227"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0"/>
                <w:szCs w:val="20"/>
                <w:color w:val="008000"/>
                <w:vertAlign w:val="superscript"/>
              </w:rPr>
              <w:t>(8)</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-3342005</wp:posOffset>
            </wp:positionV>
            <wp:extent cx="28575" cy="3347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34772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received in settlement of Performance Restricted Stock Units granted to the Reporting Person on March 6, 2023.</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received in settlement of Performance Restricted Stock Units granted to the Reporting Person on March 6, 2023.</w:t>
      </w:r>
    </w:p>
    <w:p>
      <w:pPr>
        <w:spacing w:after="0" w:line="39" w:lineRule="exact"/>
        <w:rPr>
          <w:rFonts w:ascii="Times New Roman" w:cs="Times New Roman" w:eastAsia="Times New Roman" w:hAnsi="Times New Roman"/>
          <w:sz w:val="13"/>
          <w:szCs w:val="13"/>
          <w:color w:val="008000"/>
        </w:rPr>
      </w:pPr>
    </w:p>
    <w:p>
      <w:pPr>
        <w:ind w:left="40" w:right="14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multiple transactions. The Reporting Person undertakes to provide to the issuer, any security holder of the issuer, or the staff of the Securities and Exchange Commission, upon request, full information regarding the number of shares sold in each separate transaction.</w:t>
      </w:r>
    </w:p>
    <w:p>
      <w:pPr>
        <w:spacing w:after="0" w:line="21" w:lineRule="exact"/>
        <w:rPr>
          <w:rFonts w:ascii="Times New Roman" w:cs="Times New Roman" w:eastAsia="Times New Roman" w:hAnsi="Times New Roman"/>
          <w:sz w:val="13"/>
          <w:szCs w:val="13"/>
          <w:color w:val="008000"/>
        </w:rPr>
      </w:pPr>
    </w:p>
    <w:p>
      <w:pPr>
        <w:ind w:left="40" w:right="50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constitutes the forfeiture of Performance Restricted Stock Units granted to the Reporting Person on February 25, 2022, which failed to vest because they did not meet the applicable performance conditions.</w:t>
      </w:r>
    </w:p>
    <w:p>
      <w:pPr>
        <w:spacing w:after="0" w:line="21" w:lineRule="exact"/>
        <w:rPr>
          <w:rFonts w:ascii="Times New Roman" w:cs="Times New Roman" w:eastAsia="Times New Roman" w:hAnsi="Times New Roman"/>
          <w:sz w:val="13"/>
          <w:szCs w:val="13"/>
          <w:color w:val="008000"/>
        </w:rPr>
      </w:pPr>
    </w:p>
    <w:p>
      <w:pPr>
        <w:ind w:left="40" w:right="320" w:hanging="2"/>
        <w:spacing w:after="0" w:line="252"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on March 6, 2023, Restricted Stock Units ("2023 RSUs") which represent a contingent right to receive, at the Issuer's discretion, (i) one share of Common Stock for each 2023 RSU, (ii) an amount of cash equal to the fair market value of such share of Common Stock on the date immediately preceding the date of settlement of the 2023 RSU, or (iii) a combination thereof. One-fourth</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(25.00%) of the 2023 RSUs vest upon each of the first four anniversaries of the Grant Date, generally subject to the Reporting Person's continued service to the Issuer through each such vesting and settlement date.</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2" w:right="40" w:hanging="2"/>
        <w:spacing w:after="0" w:line="252"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on March 6, 2024, Restricted Stock Units ("2024 RSUs") which represent a contingent right to receive, at the Issuer's discretion, (i) one share of Common Stock for each 2024 RSU, (ii) an amount of cash equal to the fair market value of such share of Common Stock on the date immediately preceding the date of settlement of the 2024 RSU, or (iii) a combination thereof. One-fourth</w:t>
      </w:r>
    </w:p>
    <w:p>
      <w:pPr>
        <w:ind w:left="2"/>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(25.00%) of the 2024 RSUs vest upon each of the first four anniversaries of the Grant Date, generally subject to the Reporting Person's continued service to the Issuer through each such vesting and settlement date.</w:t>
      </w:r>
    </w:p>
    <w:p>
      <w:pPr>
        <w:spacing w:after="0" w:line="36" w:lineRule="exact"/>
        <w:rPr>
          <w:rFonts w:ascii="Times New Roman" w:cs="Times New Roman" w:eastAsia="Times New Roman" w:hAnsi="Times New Roman"/>
          <w:sz w:val="12"/>
          <w:szCs w:val="12"/>
          <w:color w:val="008000"/>
        </w:rPr>
      </w:pPr>
    </w:p>
    <w:p>
      <w:pPr>
        <w:ind w:left="2" w:right="40" w:hanging="2"/>
        <w:spacing w:after="0" w:line="252"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on March 6, 2025, Restricted Stock Units ("2025 RSUs") which represent a contingent right to receive, at the Issuer's discretion, (i) one share of Common Stock for each 2025 RSU, (ii) an amount of cash equal to the fair market value of such share of Common Stock on the date immediately preceding the date of settlement of the 2025 RSU, or (iii) a combination thereof. One-third</w:t>
      </w:r>
    </w:p>
    <w:p>
      <w:pPr>
        <w:ind w:left="2"/>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(33.33%) of the 2025 RSUs vest upon each of the first three anniversaries of the Grant Date, generally subject to the Reporting Person's continued service to the Issuer through each such vesting and settlement date.</w:t>
      </w:r>
    </w:p>
    <w:p>
      <w:pPr>
        <w:spacing w:after="0" w:line="36" w:lineRule="exact"/>
        <w:rPr>
          <w:rFonts w:ascii="Times New Roman" w:cs="Times New Roman" w:eastAsia="Times New Roman" w:hAnsi="Times New Roman"/>
          <w:sz w:val="12"/>
          <w:szCs w:val="12"/>
          <w:color w:val="008000"/>
        </w:rPr>
      </w:pPr>
    </w:p>
    <w:p>
      <w:pPr>
        <w:ind w:left="2" w:right="40" w:hanging="2"/>
        <w:spacing w:after="0" w:line="252"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on March 6, 2026, Restricted Stock Units ("2026 RSUs") which represent a contingent right to receive, at the Issuer's discretion, (i) one share of Common Stock for each 2026 RSU, (ii) an amount of cash equal to the fair market value of such share of Common Stock on the date immediately preceding the date of settlement of the 2026 RSU, or (iii) a combination thereof. One-third</w:t>
      </w:r>
    </w:p>
    <w:p>
      <w:pPr>
        <w:ind w:left="2"/>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(33.33%) of the 2026 RSUs vest upon each of the first three anniversaries of the Grant Date, generally subject to the Reporting Person's continued service to the Issuer through each such vesting and settlement date.</w:t>
      </w:r>
    </w:p>
    <w:p>
      <w:pPr>
        <w:spacing w:after="0" w:line="54"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Charles C. Vos as Attorney-</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03/10/2026</w:t>
            </w:r>
          </w:p>
        </w:tc>
        <w:tc>
          <w:tcPr>
            <w:tcW w:w="0" w:type="dxa"/>
            <w:vAlign w:val="bottom"/>
          </w:tcPr>
          <w:p>
            <w:pPr>
              <w:spacing w:after="0"/>
              <w:rPr>
                <w:sz w:val="1"/>
                <w:szCs w:val="1"/>
                <w:color w:val="auto"/>
              </w:rPr>
            </w:pPr>
          </w:p>
        </w:tc>
      </w:tr>
      <w:tr>
        <w:trPr>
          <w:trHeight w:val="86"/>
        </w:trPr>
        <w:tc>
          <w:tcPr>
            <w:tcW w:w="17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in-Fact for Rodney Christo</w:t>
            </w:r>
          </w:p>
        </w:tc>
        <w:tc>
          <w:tcPr>
            <w:tcW w:w="4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7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00"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2"/>
      </w:cols>
      <w:pgMar w:left="498" w:top="12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105" TargetMode="External"/><Relationship Id="rId14" Type="http://schemas.openxmlformats.org/officeDocument/2006/relationships/hyperlink" Target="http://www.sec.gov/cgi-bin/browse-edgar?action=getcompany&amp;CIK=0001818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2026-03-10T16:11:54Z</dcterms:created>
  <dcterms:modified xsi:type="dcterms:W3CDTF">2026-03-10T16:11:54Z</dcterms:modified>
</cp:coreProperties>
</file>