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cc-20260730.htm"/>
      <w:bookmarkStart w:id="1" w:name="ksccc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167 N. Green Street, 9th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Attached hereto as Exhibit 99.1 and incorporated by reference into this Item 2.02 is a copy of the press release, dated July 30, 2026, announcing the financial results of CCC Intelligent Solutions Holdings Inc. for the quarter ended June 30, 2026, including, among other things, unaudited financial results for that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or the Exchange Act, except as otherwise expressly stated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087" w:type="dxa"/>
        <w:jc w:val="left"/>
        <w:tblInd w:w="0" w:type="dxa"/>
        <w:tblLayout w:type="fixed"/>
        <w:tblCellMar>
          <w:top w:w="28" w:type="dxa"/>
          <w:left w:w="28" w:type="dxa"/>
          <w:bottom w:w="28" w:type="dxa"/>
          <w:right w:w="28" w:type="dxa"/>
        </w:tblCellMar>
      </w:tblPr>
      <w:tblGrid>
        <w:gridCol w:w="148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Exhibits</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Number</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cc-ex99_1.htm">
              <w:r>
                <w:rPr>
                  <w:rStyle w:val="InternetLink"/>
                  <w:rFonts w:ascii="Times New Roman" w:hAnsi="Times New Roman"/>
                  <w:color w:val="0000FF"/>
                  <w:sz w:val="20"/>
                  <w:u w:val="single"/>
                </w:rPr>
                <w:t>Press release, dated July 30,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489" w:type="dxa"/>
        <w:jc w:val="left"/>
        <w:tblInd w:w="0" w:type="dxa"/>
        <w:tblLayout w:type="fixed"/>
        <w:tblCellMar>
          <w:top w:w="28" w:type="dxa"/>
          <w:left w:w="28" w:type="dxa"/>
          <w:bottom w:w="28" w:type="dxa"/>
          <w:right w:w="28" w:type="dxa"/>
        </w:tblCellMar>
      </w:tblPr>
      <w:tblGrid>
        <w:gridCol w:w="556"/>
        <w:gridCol w:w="1216"/>
        <w:gridCol w:w="631"/>
        <w:gridCol w:w="508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CCC INTELLIGENT SOLUTIONS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Rodney Christo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Rodney Christo</w:t>
              <w:br/>
              <w:t>Interim Chief Financial Officer and Chief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2" w:name="ccc-ex99_1.htm"/>
      <w:bookmarkStart w:id="3" w:name="kscccex99_1"/>
      <w:bookmarkEnd w:id="2"/>
      <w:bookmarkEnd w:id="3"/>
      <w:r>
        <w:rPr>
          <w:rFonts w:ascii="Times New Roman" w:hAnsi="Times New Roman"/>
          <w:b/>
          <w:color w:val="000000"/>
          <w:sz w:val="20"/>
        </w:rPr>
        <w:t>Exhibit 99.1</w:t>
      </w:r>
      <w:r>
        <w:br w:type="page"/>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CCC Intelligent Solutions Holdings Inc. Announces Second Quarter 2026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July 30, 2026 – CCC Intelligent Solutions Holdings Inc. (“CCC” or the “Company”) (NASDAQ: CCC), a leading SaaS and AI platform provider for the multi-trillion-dollar insurance economy, today announced its financial results for the three months ended June 30, 2026.</w:t>
      </w:r>
    </w:p>
    <w:p>
      <w:pPr>
        <w:pStyle w:val="TextBody"/>
        <w:bidi w:val="0"/>
        <w:jc w:val="left"/>
        <w:rPr>
          <w:color w:val="000000"/>
        </w:rPr>
      </w:pPr>
      <w:r>
        <w:rPr>
          <w:color w:val="000000"/>
        </w:rPr>
        <w:t>“</w:t>
      </w:r>
      <w:r>
        <w:rPr>
          <w:rFonts w:ascii="Times New Roman" w:hAnsi="Times New Roman"/>
          <w:color w:val="000000"/>
          <w:sz w:val="20"/>
        </w:rPr>
        <w:t>CCC delivered another quarter of solid execution, with second quarter revenue growth of 10% and adjusted EBITDA margin of approximately 40%. Our performance reinforces our vision for CCC to be the connective layer for the insurance economy – a network that helps every participant act, not just record,” said Githesh Ramamurthy, Chairman &amp; CEO of CCC.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continue to see customers deploy AI operationally and at scale to solve real business problems. As adoption expands across our platform, it reinforces the value of our data, workflows, ecosystem connectivity, and guidance capabilities,” continued Ramamurthy. “As the insurance economy becomes increasingly complex, customers are turning to CCC to help connect participants, make better decisions, and improve outcomes across the claims lifecycle. This dynamic is strengthening customer relationships, expanding the role we play across the ecosystem, and increasing our confidence in the long-term growth opportunity.”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Total revenue was $285.9 million for the second quarter of 2026, an increase of 9.8% from $260.5 million for the second quarter of 2025.</w:t>
      </w:r>
      <w:r>
        <w:rPr>
          <w:color w:val="00000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gross profit was $210.6 million, representing a gross margin of 74%, for the second quarter of 2026, compared with $194.0 million, representing a gross margin of 74%, for the second quarter of 2025. Adjusted gross profit was $217.3 million, representing an adjusted gross profit margin of 76%, for the second quarter of 2026, compared with $202.5 million, representing an adjusted gross profit margin of 78%,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operating income was $47.6 million for the second quarter of 2026, compared with GAAP operating income of $24.5 million for the second quarter of 2025. Adjusted operating income was $101.6 million for the second quarter of 2026, compared with adjusted operating income of $94.2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net income was $20.8 million for the second quarter of 2026, compared with GAAP net income of $13.0 million for the second quarter of 2025. Adjusted net income was $61.3 million for the second quarter of 2026, compared with $58.9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was $115.5 million for the second quarter of 2026, up 6.8% compared with adjusted EBITDA of $108.1 million for the second quarter of 2025.</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had $115.9 million in cash and cash equivalents and $1.27 billion of total debt as of June 30, 2026. The Company generated $101.6 million in cash from operating activities and had free cash flow of $82.4 million for the second quarter of 2026, compared with $43.1 million in cash generated from operating activities and free cash flow of $27.4 million for the second quarter of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2nd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Large insurers continue to operationalize AI-enabled workflows. </w:t>
      </w:r>
      <w:r>
        <w:rPr>
          <w:rFonts w:ascii="Times New Roman" w:hAnsi="Times New Roman"/>
          <w:color w:val="000000"/>
          <w:sz w:val="20"/>
        </w:rPr>
        <w:t>During the quarter, two top-five insurers (based on 2025 direct premium written) expanded their adoption of CCC’s AI-based claims routing solution, underscoring growing demand for AI-powered claims routing and early total-loss identification capabilities. These wins provide further evidence of the meaningful operational and financial benefits the solution can deliver, helping insurers identify total losses sooner, improve repair facility capacity utilization, and accelerate resolution for policyholders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Leading insurer adopts AI-enabled subrogation solution. </w:t>
      </w:r>
      <w:r>
        <w:rPr>
          <w:rFonts w:ascii="Times New Roman" w:hAnsi="Times New Roman"/>
          <w:color w:val="000000"/>
          <w:sz w:val="20"/>
        </w:rPr>
        <w:t>During the quarter, a top-five insurer (based on 2025 direct premium written) adopted CCC’s AI-based subrogation solution, becoming the largest carrier to do so to date and rapidly scaling deployment under a multi-year agreement. The win reflects growing demand for AI-enabled automation in complex, high-value claims workflows where accuracy and consistency are critical.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Leading MSO contract renewal and expansion. </w:t>
      </w:r>
      <w:r>
        <w:rPr>
          <w:rFonts w:ascii="Times New Roman" w:hAnsi="Times New Roman"/>
          <w:color w:val="000000"/>
          <w:sz w:val="20"/>
        </w:rPr>
        <w:t xml:space="preserve">One of the nation’s largest multi-store operators (MSOs) renewed and expanded its multi-year relationship with CCC during the second quarter. The customer is also a leading adopter of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Mobile Jumpstart, CCC's AI-powered estimating solution for repair facilities, using the platform to initiate 98% of its repair estimates. Broader adoption of AI-enabled workflows across the repair industry was reflected in two additional large MSOs that expanded their use of Mobile Jumpstart, driving double-digit increases in both participating repair facilities and estimates initiated through the platform.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information as of today, July 30, 2026, the Company is issuing the following financial guidance:</w:t>
      </w:r>
    </w:p>
    <w:p>
      <w:pPr>
        <w:pStyle w:val="TextBody"/>
        <w:bidi w:val="0"/>
        <w:jc w:val="left"/>
        <w:rPr/>
      </w:pPr>
      <w:r>
        <w:rPr/>
        <w:t> </w:t>
      </w:r>
    </w:p>
    <w:tbl>
      <w:tblPr>
        <w:tblW w:w="8449" w:type="dxa"/>
        <w:jc w:val="left"/>
        <w:tblInd w:w="0" w:type="dxa"/>
        <w:tblLayout w:type="fixed"/>
        <w:tblCellMar>
          <w:top w:w="28" w:type="dxa"/>
          <w:left w:w="28" w:type="dxa"/>
          <w:bottom w:w="28" w:type="dxa"/>
          <w:right w:w="28" w:type="dxa"/>
        </w:tblCellMar>
      </w:tblPr>
      <w:tblGrid>
        <w:gridCol w:w="1846"/>
        <w:gridCol w:w="146"/>
        <w:gridCol w:w="211"/>
        <w:gridCol w:w="2686"/>
        <w:gridCol w:w="146"/>
        <w:gridCol w:w="146"/>
        <w:gridCol w:w="211"/>
        <w:gridCol w:w="2686"/>
        <w:gridCol w:w="3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bottom w:val="single" w:sz="8" w:space="0" w:color="000000"/>
            </w:tcBorders>
            <w:tcMar>
              <w:top w:w="0" w:type="dxa"/>
              <w:left w:w="0" w:type="dxa"/>
              <w:right w:w="0" w:type="dxa"/>
            </w:tcMar>
            <w:vAlign w:val="center"/>
          </w:tcPr>
          <w:p>
            <w:pPr>
              <w:pStyle w:val="TableContents"/>
              <w:bidi w:val="0"/>
              <w:spacing w:before="0" w:after="160"/>
              <w:jc w:val="center"/>
              <w:rPr>
                <w:rFonts w:ascii="Times New Roman" w:hAnsi="Times New Roman"/>
                <w:b/>
                <w:color w:val="000000"/>
                <w:sz w:val="20"/>
              </w:rPr>
            </w:pPr>
            <w:r>
              <w:rPr>
                <w:rFonts w:ascii="Times New Roman" w:hAnsi="Times New Roman"/>
                <w:b/>
                <w:color w:val="000000"/>
                <w:sz w:val="20"/>
              </w:rPr>
              <w:t>Third Quarter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bottom w:val="single" w:sz="8" w:space="0" w:color="000000"/>
            </w:tcBorders>
            <w:tcMar>
              <w:top w:w="0" w:type="dxa"/>
              <w:left w:w="0" w:type="dxa"/>
              <w:right w:w="0" w:type="dxa"/>
            </w:tcMar>
            <w:vAlign w:val="center"/>
          </w:tcPr>
          <w:p>
            <w:pPr>
              <w:pStyle w:val="TableContents"/>
              <w:bidi w:val="0"/>
              <w:spacing w:before="0" w:after="160"/>
              <w:jc w:val="center"/>
              <w:rPr>
                <w:rFonts w:ascii="Times New Roman" w:hAnsi="Times New Roman"/>
                <w:b/>
                <w:color w:val="000000"/>
                <w:sz w:val="20"/>
              </w:rPr>
            </w:pPr>
            <w:r>
              <w:rPr>
                <w:rFonts w:ascii="Times New Roman" w:hAnsi="Times New Roman"/>
                <w:b/>
                <w:color w:val="000000"/>
                <w:sz w:val="20"/>
              </w:rPr>
              <w:t>Full Year 2026</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t>
            </w:r>
          </w:p>
        </w:tc>
        <w:tc>
          <w:tcPr>
            <w:tcW w:w="2686" w:type="dxa"/>
            <w:tcBorders/>
            <w:shd w:fill="CCEE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289.5 million to $291.5 million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t>
            </w:r>
          </w:p>
        </w:tc>
        <w:tc>
          <w:tcPr>
            <w:tcW w:w="2686" w:type="dxa"/>
            <w:tcBorders/>
            <w:shd w:fill="CCEE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1.158 billion to $1.164 billion</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Adjusted EBITDA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t>
            </w:r>
          </w:p>
        </w:tc>
        <w:tc>
          <w:tcPr>
            <w:tcW w:w="26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118.0 million to $120.0 million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w:t>
            </w:r>
          </w:p>
        </w:tc>
        <w:tc>
          <w:tcPr>
            <w:tcW w:w="26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485.0 million to $491.0 million</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will host a conference call today, July 30, at 8:00 a.m. (Eastern Time) to discuss the Company’s financial results and financial guidance. A live webcast of this conference call will be available on the “Investor Relations” page of the Company’s website at https://ir.cccis.com, and a replay will be archived on the website as well.</w:t>
      </w:r>
    </w:p>
    <w:p>
      <w:pPr>
        <w:pStyle w:val="TextBody"/>
        <w:bidi w:val="0"/>
        <w:jc w:val="left"/>
        <w:rPr>
          <w:rFonts w:ascii="Times New Roman" w:hAnsi="Times New Roman"/>
          <w:b/>
          <w:color w:val="000000"/>
          <w:sz w:val="20"/>
        </w:rPr>
      </w:pPr>
      <w:r>
        <w:rPr>
          <w:rFonts w:ascii="Times New Roman" w:hAnsi="Times New Roman"/>
          <w:b/>
          <w:color w:val="000000"/>
          <w:sz w:val="20"/>
        </w:rPr>
        <w:t>About CCC Intelligent Solutions</w:t>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CCC Intelligent Solutions Inc. (CCC), a subsidiary of CCC Intelligent Solutions Holdings Inc. (NASDAQ: CCC), is a leading SaaS and AI platform provider for the multi-trillion-dollar insurance economy, creating intelligent experiences for insurers, repairers, automakers, part suppliers, and more. The CCC Intelligent Experience (IX) Cloud platform, powered by proven AI and an innovative event-based architecture, connects more than 35,000 businesses to power customized applications and platforms for optimal outcomes and personalized experiences that just work. Through purposeful innovation and the strength of its connections, CCC technologies empower the people and industry relied upon to keep lives moving forward when it matters most. Learn more about CCC at www.cccis.com.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press release include, but are not limited to, future events, goals, plans and projections regarding the Company’s financial position, results of operations, market position, product development and business strategy. Such differences may be material. We cannot assure you that the forward-looking statements in this press release will prove to be accurate. These forward looking statements are subject to a number of risks and uncertainties, including, among others, our revenues, the concentration of our customers and the ability to retain our current customers; our ability to negotiate with our customers on favorable terms; our ability to maintain and grow our brand and reputation cost-effectively; the execution of our growth strategy; the impact of factors outside our control including public health outbreaks, natural catastrophes, war and terrorism; our projected financial information, growth rate and market opportunity; the health of our industry, claim volumes, and market conditions; changes in the insurance and automotive collision industries, including the adoption of new technologies; global economic conditions and geopolitical events; competition in our market and our ability to retain and grow market share; our ability to develop, introduce and market new enhanced versions of our solutions; our sales and implementation cycles; the ability of our research and development efforts to create significant new revenue streams; changes in applicable laws or regulations; changes in international economic, political, social and governmental conditions and policies, including corruption risks in China and other countries; our reliance on third-party data, technology and intellectual property; our ability to protect our intellectual property; our ability to keep our data and information systems secure from data security breaches; changes in our customers’ or the public’s perceptions regarding the use of artificial intelligence; our ability to acquire or invest in companies or pursue business partnerships; our ability to raise financing in the future and improve our capital structure; our success in retaining or recruiting, or changes required in, our officers, key employees or directors; our estimates regarding expenses, future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revenue, capital requirements and needs for additional financing; our ability to expand or maintain our existing customer base; our ability to service our indebtedness; and other risks and uncertainties, including those included under the header “Risk Factors” in the Company’s Annual Report on Form 10-K for the fiscal year ended December 31, 2025 filed with the Securities and Exchange Commission (“SEC”), which can be obtained, without charge, at the SEC’s website (www.sec.gov), and in our other filings with the SEC.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includes certain financial measures not presented in accordance with generally accepted accounting principles in the U.S. (“GAAP”), including, but not limited to, “adjusted EBITDA,” “adjusted EBITDA margin,” “adjusted net income,” “adjusted operating income,” “adjusted gross profit,” “adjusted gross profit margin,” “adjusted operating expenses,” and “free cash flow” in each case presented on a non-GAAP basis, and certain ratios and other metrics derived therefrom.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other measures of profitability, liquidity or performance under GAAP. You should be aware that the Company’s calculation of these non-GAAP measures may not be comparable to similarly-titled measures used by other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these non-GAAP measures of financial results provide useful information to management and investors regarding certain financial and business trends relating to the Company’s financial condition and results of operations. The Company believes that the use of these non-GAAP financial measures provides an additional tool for investors to use in evaluating ongoing operating results and trends and in comparing the Company’s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 Please refer to the reconciliations of these measures below to what the Company believes are the most directly comparable measures evaluated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also includes certain projections of non-GAAP financial measures.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GAAP financial measures without unreasonable effort. Consequently, no disclosure of estimated comparable GAAP measures is included and no reconciliation of the forward-looking non-GAAP financial measures is included for these projections.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left"/>
        <w:rPr>
          <w:rFonts w:ascii="Times New Roman" w:hAnsi="Times New Roman"/>
          <w:color w:val="000000"/>
          <w:sz w:val="20"/>
        </w:rPr>
      </w:pPr>
      <w:r>
        <w:rPr>
          <w:rFonts w:ascii="Times New Roman" w:hAnsi="Times New Roman"/>
          <w:color w:val="000000"/>
          <w:sz w:val="20"/>
        </w:rPr>
        <w:t>Bill Warmington</w:t>
      </w:r>
    </w:p>
    <w:p>
      <w:pPr>
        <w:pStyle w:val="TextBody"/>
        <w:bidi w:val="0"/>
        <w:jc w:val="left"/>
        <w:rPr>
          <w:rFonts w:ascii="Times New Roman" w:hAnsi="Times New Roman"/>
          <w:color w:val="000000"/>
          <w:sz w:val="20"/>
        </w:rPr>
      </w:pPr>
      <w:r>
        <w:rPr>
          <w:rFonts w:ascii="Times New Roman" w:hAnsi="Times New Roman"/>
          <w:color w:val="000000"/>
          <w:sz w:val="20"/>
        </w:rPr>
        <w:t>VP, Investor Relations, CCC Intelligent Solutions Inc.</w:t>
      </w:r>
    </w:p>
    <w:p>
      <w:pPr>
        <w:pStyle w:val="TextBody"/>
        <w:bidi w:val="0"/>
        <w:jc w:val="left"/>
        <w:rPr>
          <w:rFonts w:ascii="Times New Roman" w:hAnsi="Times New Roman"/>
          <w:color w:val="000000"/>
          <w:sz w:val="20"/>
        </w:rPr>
      </w:pPr>
      <w:r>
        <w:rPr>
          <w:rFonts w:ascii="Times New Roman" w:hAnsi="Times New Roman"/>
          <w:color w:val="000000"/>
          <w:sz w:val="20"/>
        </w:rPr>
        <w:t>312-229-2355</w:t>
      </w:r>
    </w:p>
    <w:p>
      <w:pPr>
        <w:pStyle w:val="TextBody"/>
        <w:bidi w:val="0"/>
        <w:jc w:val="left"/>
        <w:rPr>
          <w:rFonts w:ascii="Times New Roman" w:hAnsi="Times New Roman"/>
          <w:color w:val="000000"/>
          <w:sz w:val="20"/>
        </w:rPr>
      </w:pPr>
      <w:r>
        <w:rPr>
          <w:rFonts w:ascii="Times New Roman" w:hAnsi="Times New Roman"/>
          <w:color w:val="000000"/>
          <w:sz w:val="20"/>
        </w:rPr>
        <w:t>IR@cccis.com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Contact:</w:t>
      </w:r>
    </w:p>
    <w:p>
      <w:pPr>
        <w:pStyle w:val="TextBody"/>
        <w:bidi w:val="0"/>
        <w:jc w:val="left"/>
        <w:rPr>
          <w:rFonts w:ascii="Times New Roman" w:hAnsi="Times New Roman"/>
          <w:color w:val="000000"/>
          <w:sz w:val="20"/>
        </w:rPr>
      </w:pPr>
      <w:r>
        <w:rPr>
          <w:rFonts w:ascii="Times New Roman" w:hAnsi="Times New Roman"/>
          <w:color w:val="000000"/>
          <w:sz w:val="20"/>
        </w:rPr>
        <w:t>Michelle Hellyar</w:t>
      </w:r>
    </w:p>
    <w:p>
      <w:pPr>
        <w:pStyle w:val="TextBody"/>
        <w:bidi w:val="0"/>
        <w:jc w:val="left"/>
        <w:rPr>
          <w:rFonts w:ascii="Times New Roman" w:hAnsi="Times New Roman"/>
          <w:color w:val="000000"/>
          <w:sz w:val="20"/>
        </w:rPr>
      </w:pPr>
      <w:r>
        <w:rPr>
          <w:rFonts w:ascii="Times New Roman" w:hAnsi="Times New Roman"/>
          <w:color w:val="000000"/>
          <w:sz w:val="20"/>
        </w:rPr>
        <w:t>Senior Director, Public Relations, CCC Intelligent Solutions Inc.</w:t>
      </w:r>
    </w:p>
    <w:p>
      <w:pPr>
        <w:pStyle w:val="TextBody"/>
        <w:bidi w:val="0"/>
        <w:jc w:val="left"/>
        <w:rPr>
          <w:rFonts w:ascii="Times New Roman" w:hAnsi="Times New Roman"/>
          <w:color w:val="000000"/>
          <w:sz w:val="20"/>
        </w:rPr>
      </w:pPr>
      <w:r>
        <w:rPr>
          <w:rFonts w:ascii="Times New Roman" w:hAnsi="Times New Roman"/>
          <w:color w:val="000000"/>
          <w:sz w:val="20"/>
        </w:rPr>
        <w:t>mhellyar@cccis.com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9"/>
        <w:gridCol w:w="146"/>
        <w:gridCol w:w="196"/>
        <w:gridCol w:w="886"/>
        <w:gridCol w:w="166"/>
        <w:gridCol w:w="146"/>
        <w:gridCol w:w="203"/>
        <w:gridCol w:w="920"/>
        <w:gridCol w:w="613"/>
      </w:tblGrid>
      <w:tr>
        <w:trPr/>
        <w:tc>
          <w:tcPr>
            <w:tcW w:w="6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receivable—Net of allowances of $3,702 and $3,773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335,098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166,796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1,010,658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3,531,928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80,897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licensing agreement—Net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 payable to minority investor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234,125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1,264,941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199,311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1,759,380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1,786,422</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(Notes 19 and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stock—$0.0001 par; 100,000,000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stock—$0.0001 par; 5,000,000,000 shares authorized; 587,843,605 and</w:t>
              <w:br/>
              <w:t>   605,449,050 shares issued and outstanding as of June 30, 2026 and December 31,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3,483,031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1,772,548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1,787,010</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196"/>
        <w:gridCol w:w="1006"/>
        <w:gridCol w:w="166"/>
        <w:gridCol w:w="146"/>
        <w:gridCol w:w="196"/>
        <w:gridCol w:w="1006"/>
        <w:gridCol w:w="166"/>
        <w:gridCol w:w="146"/>
        <w:gridCol w:w="196"/>
        <w:gridCol w:w="1006"/>
        <w:gridCol w:w="166"/>
        <w:gridCol w:w="146"/>
        <w:gridCol w:w="196"/>
        <w:gridCol w:w="1006"/>
        <w:gridCol w:w="7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512,016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revenues, exclusive of amortization of acquired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133,008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379,008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121,692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91,772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365,236</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CCC INTELLIGENT</w:t>
              <w:br/>
              <w:t>   SOLUTIONS HOLDINGS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income (loss) per share</w:t>
              <w:br/>
              <w:t>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573,413,846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637,578,033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580,442,460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637,207,185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584,920,956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660,622,703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596,340,210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637,207,185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income—Foreign currency translation</w:t>
              <w:br/>
              <w:t>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INCLUDING</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ATTRIBUTABLE TO CCC</w:t>
              <w:br/>
              <w:t>   INTELLIGENT SOLUTIONS HOLDINGS INC. COMMON</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42"/>
        <w:gridCol w:w="146"/>
        <w:gridCol w:w="196"/>
        <w:gridCol w:w="751"/>
        <w:gridCol w:w="166"/>
        <w:gridCol w:w="146"/>
        <w:gridCol w:w="196"/>
        <w:gridCol w:w="751"/>
        <w:gridCol w:w="1011"/>
      </w:tblGrid>
      <w:tr>
        <w:trPr/>
        <w:tc>
          <w:tcPr>
            <w:tcW w:w="6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 of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discount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contract costs—Non-current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101,548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software, equipment,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EvolutionIQ, Inc.,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(445,682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employee taxes withheld upon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fees associated with the debt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(343,930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398,983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55,053</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purchases of software, equipment,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issued related the acquisition of EvolutionIQ,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250,441</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promissory note to minority investor of redeemable preferred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22,955</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33,616</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GROSS PROFIT TO ADJUSTED GROSS PROFIT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profit margin percentage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03"/>
        <w:gridCol w:w="146"/>
        <w:gridCol w:w="223"/>
        <w:gridCol w:w="828"/>
        <w:gridCol w:w="287"/>
        <w:gridCol w:w="154"/>
        <w:gridCol w:w="223"/>
        <w:gridCol w:w="828"/>
        <w:gridCol w:w="271"/>
        <w:gridCol w:w="146"/>
        <w:gridCol w:w="211"/>
        <w:gridCol w:w="781"/>
        <w:gridCol w:w="271"/>
        <w:gridCol w:w="146"/>
        <w:gridCol w:w="211"/>
        <w:gridCol w:w="781"/>
        <w:gridCol w:w="595"/>
      </w:tblGrid>
      <w:tr>
        <w:trPr/>
        <w:tc>
          <w:tcPr>
            <w:tcW w:w="4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210,637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and related employer payroll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217,272</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394,983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OPERATING EXPENSES TO ADJUSTED OPERATING EXPENSES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93"/>
        <w:gridCol w:w="646"/>
        <w:gridCol w:w="218"/>
        <w:gridCol w:w="809"/>
        <w:gridCol w:w="171"/>
        <w:gridCol w:w="151"/>
        <w:gridCol w:w="218"/>
        <w:gridCol w:w="809"/>
        <w:gridCol w:w="666"/>
        <w:gridCol w:w="646"/>
        <w:gridCol w:w="211"/>
        <w:gridCol w:w="783"/>
        <w:gridCol w:w="166"/>
        <w:gridCol w:w="146"/>
        <w:gridCol w:w="211"/>
        <w:gridCol w:w="843"/>
        <w:gridCol w:w="618"/>
      </w:tblGrid>
      <w:tr>
        <w:trPr/>
        <w:tc>
          <w:tcPr>
            <w:tcW w:w="289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169,546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365,236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(104,939</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115,717</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215,400</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OPERATING INCOME TO ADJUSTED OPERATING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4"/>
        <w:gridCol w:w="646"/>
        <w:gridCol w:w="223"/>
        <w:gridCol w:w="825"/>
        <w:gridCol w:w="154"/>
        <w:gridCol w:w="154"/>
        <w:gridCol w:w="223"/>
        <w:gridCol w:w="714"/>
        <w:gridCol w:w="646"/>
        <w:gridCol w:w="646"/>
        <w:gridCol w:w="213"/>
        <w:gridCol w:w="791"/>
        <w:gridCol w:w="147"/>
        <w:gridCol w:w="147"/>
        <w:gridCol w:w="213"/>
        <w:gridCol w:w="791"/>
        <w:gridCol w:w="618"/>
      </w:tblGrid>
      <w:tr>
        <w:trPr/>
        <w:tc>
          <w:tcPr>
            <w:tcW w:w="305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Operating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101,555</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94,246</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208,321</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179,583</w:t>
            </w:r>
          </w:p>
        </w:tc>
        <w:tc>
          <w:tcPr>
            <w:tcW w:w="6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(LOSS) TO 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EBITDA margin percentage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96"/>
        <w:gridCol w:w="646"/>
        <w:gridCol w:w="213"/>
        <w:gridCol w:w="791"/>
        <w:gridCol w:w="274"/>
        <w:gridCol w:w="147"/>
        <w:gridCol w:w="213"/>
        <w:gridCol w:w="791"/>
        <w:gridCol w:w="771"/>
        <w:gridCol w:w="646"/>
        <w:gridCol w:w="211"/>
        <w:gridCol w:w="781"/>
        <w:gridCol w:w="271"/>
        <w:gridCol w:w="146"/>
        <w:gridCol w:w="211"/>
        <w:gridCol w:w="781"/>
        <w:gridCol w:w="616"/>
      </w:tblGrid>
      <w:tr>
        <w:trPr/>
        <w:tc>
          <w:tcPr>
            <w:tcW w:w="26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Expense (Income) from derivative instruments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115,478</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108,116</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207,194</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Adjusted EBITDA Margin</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(LOSS) TO ADJUSTED NET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467" w:type="dxa"/>
        <w:jc w:val="left"/>
        <w:tblInd w:w="0" w:type="dxa"/>
        <w:tblLayout w:type="fixed"/>
        <w:tblCellMar>
          <w:top w:w="28" w:type="dxa"/>
          <w:left w:w="28" w:type="dxa"/>
          <w:bottom w:w="28" w:type="dxa"/>
          <w:right w:w="28" w:type="dxa"/>
        </w:tblCellMar>
      </w:tblPr>
      <w:tblGrid>
        <w:gridCol w:w="1866"/>
        <w:gridCol w:w="646"/>
        <w:gridCol w:w="211"/>
        <w:gridCol w:w="1141"/>
        <w:gridCol w:w="166"/>
        <w:gridCol w:w="146"/>
        <w:gridCol w:w="211"/>
        <w:gridCol w:w="1141"/>
        <w:gridCol w:w="666"/>
        <w:gridCol w:w="646"/>
        <w:gridCol w:w="211"/>
        <w:gridCol w:w="1141"/>
        <w:gridCol w:w="166"/>
        <w:gridCol w:w="146"/>
        <w:gridCol w:w="211"/>
        <w:gridCol w:w="1141"/>
        <w:gridCol w:w="611"/>
      </w:tblGrid>
      <w:tr>
        <w:trPr/>
        <w:tc>
          <w:tcPr>
            <w:tcW w:w="18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proceeds,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Tax effect of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(26,521</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58,855</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Per Share attributable to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573,413,846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637,578,033</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637,207,185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584,920,956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660,622,703</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596,340,210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666,130,181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CASH FLOW FROM OPERATING ACTIVITIES TO FREE CASH FLOW</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73"/>
        <w:gridCol w:w="146"/>
        <w:gridCol w:w="244"/>
        <w:gridCol w:w="904"/>
        <w:gridCol w:w="191"/>
        <w:gridCol w:w="168"/>
        <w:gridCol w:w="244"/>
        <w:gridCol w:w="851"/>
        <w:gridCol w:w="166"/>
        <w:gridCol w:w="146"/>
        <w:gridCol w:w="218"/>
        <w:gridCol w:w="809"/>
        <w:gridCol w:w="171"/>
        <w:gridCol w:w="150"/>
        <w:gridCol w:w="218"/>
        <w:gridCol w:w="809"/>
        <w:gridCol w:w="597"/>
      </w:tblGrid>
      <w:tr>
        <w:trPr/>
        <w:tc>
          <w:tcPr>
            <w:tcW w:w="4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70,999</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4322</Words>
  <Characters>24935</Characters>
  <CharactersWithSpaces>29906</CharactersWithSpaces>
  <Paragraphs>2802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