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98-1546280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621-8070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21, 2026, CCC Intelligent Solutions Holdings Inc. (the “Company”) held its annual meeting of stockholders (the “Annual Meeting”). Present at the Annual Meeting in person or by proxy were holders of 538,974,687 shares of common stock, which represent 91.87% of the voting power of all shares of common stock of the Company as of March 27, 2026, the record date for the Annual Meeting, and constituting a quorum for the transaction of business at the Annual Meeting.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items at the Annual Meeting:</w:t>
      </w:r>
    </w:p>
    <w:p>
      <w:pPr>
        <w:spacing w:after="0" w:line="117" w:lineRule="exact"/>
        <w:rPr>
          <w:sz w:val="20"/>
          <w:szCs w:val="20"/>
          <w:color w:val="auto"/>
        </w:rPr>
      </w:pPr>
    </w:p>
    <w:p>
      <w:pPr>
        <w:ind w:left="1020" w:right="5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serve until the 2029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frequency of future advisory (non-binding) votes on the compensation of the Company’s named executive officers;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 as set forth in the Proxy Statement for the Annual Meeting (the “Proxy Statement”);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the Company’s independent registered public accounting firm for the year ending December 31, 2026.</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Company’s Proxy Statement.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Holders of the shares of common stock are entitled to one vote per share. The voting results for each of these proposals are detailed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Election of Class II Directors</w:t>
            </w: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2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2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 w:type="dxa"/>
            <w:vAlign w:val="bottom"/>
          </w:tcPr>
          <w:p>
            <w:pPr>
              <w:spacing w:after="0"/>
              <w:rPr>
                <w:sz w:val="24"/>
                <w:szCs w:val="24"/>
                <w:color w:val="auto"/>
              </w:rPr>
            </w:pPr>
          </w:p>
        </w:tc>
        <w:tc>
          <w:tcPr>
            <w:tcW w:w="2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191"/>
        </w:trPr>
        <w:tc>
          <w:tcPr>
            <w:tcW w:w="120" w:type="dxa"/>
            <w:vAlign w:val="bottom"/>
          </w:tcPr>
          <w:p>
            <w:pPr>
              <w:spacing w:after="0"/>
              <w:rPr>
                <w:sz w:val="16"/>
                <w:szCs w:val="16"/>
                <w:color w:val="auto"/>
              </w:rPr>
            </w:pPr>
          </w:p>
        </w:tc>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Neil de Crescenzo</w:t>
            </w:r>
          </w:p>
        </w:tc>
        <w:tc>
          <w:tcPr>
            <w:tcW w:w="220" w:type="dxa"/>
            <w:vAlign w:val="bottom"/>
          </w:tcPr>
          <w:p>
            <w:pPr>
              <w:spacing w:after="0"/>
              <w:rPr>
                <w:sz w:val="16"/>
                <w:szCs w:val="16"/>
                <w:color w:val="auto"/>
              </w:rPr>
            </w:pPr>
          </w:p>
        </w:tc>
        <w:tc>
          <w:tcPr>
            <w:tcW w:w="2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380,618,771</w:t>
            </w:r>
          </w:p>
        </w:tc>
        <w:tc>
          <w:tcPr>
            <w:tcW w:w="220" w:type="dxa"/>
            <w:vAlign w:val="bottom"/>
          </w:tcPr>
          <w:p>
            <w:pPr>
              <w:spacing w:after="0"/>
              <w:rPr>
                <w:sz w:val="16"/>
                <w:szCs w:val="16"/>
                <w:color w:val="auto"/>
              </w:rPr>
            </w:pPr>
          </w:p>
        </w:tc>
        <w:tc>
          <w:tcPr>
            <w:tcW w:w="2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129,789,288</w:t>
            </w:r>
          </w:p>
        </w:tc>
        <w:tc>
          <w:tcPr>
            <w:tcW w:w="220" w:type="dxa"/>
            <w:vAlign w:val="bottom"/>
          </w:tcPr>
          <w:p>
            <w:pPr>
              <w:spacing w:after="0"/>
              <w:rPr>
                <w:sz w:val="16"/>
                <w:szCs w:val="16"/>
                <w:color w:val="auto"/>
              </w:rPr>
            </w:pPr>
          </w:p>
        </w:tc>
        <w:tc>
          <w:tcPr>
            <w:tcW w:w="2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28,566,628</w:t>
            </w:r>
          </w:p>
        </w:tc>
      </w:tr>
      <w:tr>
        <w:trPr>
          <w:trHeight w:val="216"/>
        </w:trPr>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 Ingram</w:t>
            </w:r>
          </w:p>
        </w:tc>
        <w:tc>
          <w:tcPr>
            <w:tcW w:w="2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345,195,726</w:t>
            </w:r>
          </w:p>
        </w:tc>
        <w:tc>
          <w:tcPr>
            <w:tcW w:w="2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165,212,333</w:t>
            </w:r>
          </w:p>
        </w:tc>
        <w:tc>
          <w:tcPr>
            <w:tcW w:w="2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28,566,628</w:t>
            </w:r>
          </w:p>
        </w:tc>
      </w:tr>
      <w:tr>
        <w:trPr>
          <w:trHeight w:val="234"/>
        </w:trPr>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John Schweitzer</w:t>
            </w:r>
          </w:p>
        </w:tc>
        <w:tc>
          <w:tcPr>
            <w:tcW w:w="2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504,607,363</w:t>
            </w:r>
          </w:p>
        </w:tc>
        <w:tc>
          <w:tcPr>
            <w:tcW w:w="2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5,800,696</w:t>
            </w:r>
          </w:p>
        </w:tc>
        <w:tc>
          <w:tcPr>
            <w:tcW w:w="27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28,566,628</w:t>
            </w:r>
          </w:p>
        </w:tc>
      </w:tr>
    </w:tbl>
    <w:p>
      <w:pPr>
        <w:spacing w:after="0" w:line="9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each director nominee was duly elected to serve until the 2029 annual meeting of stockholders and until his successor is duly elected and qualified.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2. Advisory Vote on Frequency of Future Votes on the Compensation of the Company’s Named Executive Officers</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 One Year</w:t>
            </w:r>
          </w:p>
        </w:tc>
        <w:tc>
          <w:tcPr>
            <w:tcW w:w="2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for Two Years</w:t>
            </w:r>
          </w:p>
        </w:tc>
        <w:tc>
          <w:tcPr>
            <w:tcW w:w="2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for Three Years</w:t>
            </w:r>
          </w:p>
        </w:tc>
        <w:tc>
          <w:tcPr>
            <w:tcW w:w="2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0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20" w:type="dxa"/>
            <w:vAlign w:val="bottom"/>
          </w:tcPr>
          <w:p>
            <w:pPr>
              <w:spacing w:after="0"/>
              <w:rPr>
                <w:sz w:val="19"/>
                <w:szCs w:val="19"/>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491,532,529</w:t>
            </w:r>
          </w:p>
        </w:tc>
        <w:tc>
          <w:tcPr>
            <w:tcW w:w="220" w:type="dxa"/>
            <w:vAlign w:val="bottom"/>
          </w:tcPr>
          <w:p>
            <w:pPr>
              <w:spacing w:after="0"/>
              <w:rPr>
                <w:sz w:val="19"/>
                <w:szCs w:val="19"/>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267,610</w:t>
            </w:r>
          </w:p>
        </w:tc>
        <w:tc>
          <w:tcPr>
            <w:tcW w:w="220" w:type="dxa"/>
            <w:vAlign w:val="bottom"/>
          </w:tcPr>
          <w:p>
            <w:pPr>
              <w:spacing w:after="0"/>
              <w:rPr>
                <w:sz w:val="19"/>
                <w:szCs w:val="19"/>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18,574,425</w:t>
            </w:r>
          </w:p>
        </w:tc>
        <w:tc>
          <w:tcPr>
            <w:tcW w:w="220" w:type="dxa"/>
            <w:vAlign w:val="bottom"/>
          </w:tcPr>
          <w:p>
            <w:pPr>
              <w:spacing w:after="0"/>
              <w:rPr>
                <w:sz w:val="19"/>
                <w:szCs w:val="19"/>
                <w:color w:val="auto"/>
              </w:rPr>
            </w:pPr>
          </w:p>
        </w:tc>
        <w:tc>
          <w:tcPr>
            <w:tcW w:w="2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33,495</w:t>
            </w:r>
          </w:p>
        </w:tc>
        <w:tc>
          <w:tcPr>
            <w:tcW w:w="200" w:type="dxa"/>
            <w:vAlign w:val="bottom"/>
          </w:tcPr>
          <w:p>
            <w:pPr>
              <w:spacing w:after="0"/>
              <w:rPr>
                <w:sz w:val="19"/>
                <w:szCs w:val="19"/>
                <w:color w:val="auto"/>
              </w:rPr>
            </w:pP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28,566,628</w:t>
            </w:r>
          </w:p>
        </w:tc>
      </w:tr>
    </w:tbl>
    <w:p>
      <w:pPr>
        <w:spacing w:after="0" w:line="7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Company has considered the outcome of this advisory vote and has determined, as was recommended with respect to this proposal by the Company's board of directors in the Company’s Proxy Statement, that the Company will hold future say-on-pay votes on an annual basis until the next advisory vote on the frequency of say-on-pay votes. The next advisory vote regarding the frequency of say on pay votes is required to occur no later than the Company’s 2032 annual meeting of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Advisory Vote on the Compensation of the Company’s Named Executive Officers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473,976,132</w:t>
            </w:r>
          </w:p>
        </w:tc>
        <w:tc>
          <w:tcPr>
            <w:tcW w:w="220" w:type="dxa"/>
            <w:vAlign w:val="bottom"/>
          </w:tcPr>
          <w:p>
            <w:pPr>
              <w:spacing w:after="0"/>
              <w:rPr>
                <w:sz w:val="19"/>
                <w:szCs w:val="19"/>
                <w:color w:val="auto"/>
              </w:rPr>
            </w:pPr>
          </w:p>
        </w:tc>
        <w:tc>
          <w:tcPr>
            <w:tcW w:w="26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35,671,335</w:t>
            </w:r>
          </w:p>
        </w:tc>
        <w:tc>
          <w:tcPr>
            <w:tcW w:w="22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760,592</w:t>
            </w:r>
          </w:p>
        </w:tc>
        <w:tc>
          <w:tcPr>
            <w:tcW w:w="220" w:type="dxa"/>
            <w:vAlign w:val="bottom"/>
          </w:tcPr>
          <w:p>
            <w:pPr>
              <w:spacing w:after="0"/>
              <w:rPr>
                <w:sz w:val="19"/>
                <w:szCs w:val="19"/>
                <w:color w:val="auto"/>
              </w:rPr>
            </w:pPr>
          </w:p>
        </w:tc>
        <w:tc>
          <w:tcPr>
            <w:tcW w:w="26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28,566,628</w:t>
            </w:r>
          </w:p>
        </w:tc>
      </w:tr>
    </w:tbl>
    <w:p>
      <w:pPr>
        <w:spacing w:after="0" w:line="7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approved, on an advisory (non-binding) basis, the compensation of the Company’s named executive officers as set forth in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Ratification of the Selection of Deloitte as Independent Registered Public Accounting Firm</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28"/>
        </w:trPr>
        <w:tc>
          <w:tcPr>
            <w:tcW w:w="354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515,649,326</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22,746,006</w:t>
            </w:r>
          </w:p>
        </w:tc>
        <w:tc>
          <w:tcPr>
            <w:tcW w:w="200" w:type="dxa"/>
            <w:vAlign w:val="bottom"/>
          </w:tcPr>
          <w:p>
            <w:pPr>
              <w:spacing w:after="0"/>
              <w:rPr>
                <w:sz w:val="19"/>
                <w:szCs w:val="19"/>
                <w:color w:val="auto"/>
              </w:rPr>
            </w:pPr>
          </w:p>
        </w:tc>
        <w:tc>
          <w:tcPr>
            <w:tcW w:w="354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579,355</w:t>
            </w:r>
          </w:p>
        </w:tc>
      </w:tr>
      <w:tr>
        <w:trPr>
          <w:trHeight w:val="306"/>
        </w:trPr>
        <w:tc>
          <w:tcPr>
            <w:tcW w:w="44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There were no broker non-votes on this proposal.</w:t>
            </w: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pacing w:after="0" w:line="9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ratified the selection of Deloitte as the Company’s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CCC INTELLIGENT SOLUTIONS HOLDINGS INC.</w:t>
            </w:r>
          </w:p>
        </w:tc>
      </w:tr>
      <w:tr>
        <w:trPr>
          <w:trHeight w:val="58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2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Herb</w:t>
            </w:r>
          </w:p>
        </w:tc>
      </w:tr>
      <w:tr>
        <w:trPr>
          <w:trHeight w:val="191"/>
        </w:trPr>
        <w:tc>
          <w:tcPr>
            <w:tcW w:w="3100" w:type="dxa"/>
            <w:vAlign w:val="bottom"/>
          </w:tcPr>
          <w:p>
            <w:pPr>
              <w:spacing w:after="0"/>
              <w:rPr>
                <w:sz w:val="16"/>
                <w:szCs w:val="16"/>
                <w:color w:val="auto"/>
              </w:rPr>
            </w:pPr>
          </w:p>
        </w:tc>
        <w:tc>
          <w:tcPr>
            <w:tcW w:w="2200" w:type="dxa"/>
            <w:vAlign w:val="bottom"/>
          </w:tcPr>
          <w:p>
            <w:pPr>
              <w:ind w:left="14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Herb</w:t>
            </w:r>
          </w:p>
        </w:tc>
      </w:tr>
      <w:tr>
        <w:trPr>
          <w:trHeight w:val="248"/>
        </w:trPr>
        <w:tc>
          <w:tcPr>
            <w:tcW w:w="3100" w:type="dxa"/>
            <w:vAlign w:val="bottom"/>
          </w:tcPr>
          <w:p>
            <w:pPr>
              <w:spacing w:after="0"/>
              <w:rPr>
                <w:sz w:val="21"/>
                <w:szCs w:val="21"/>
                <w:color w:val="auto"/>
              </w:rPr>
            </w:pPr>
          </w:p>
        </w:tc>
        <w:tc>
          <w:tcPr>
            <w:tcW w:w="22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and Administrative Officer</w:t>
            </w:r>
          </w:p>
        </w:tc>
      </w:tr>
      <w:tr>
        <w:trPr>
          <w:trHeight w:val="1141"/>
        </w:trPr>
        <w:tc>
          <w:tcPr>
            <w:tcW w:w="31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2026-05-22T16:33:12Z</dcterms:created>
  <dcterms:modified xsi:type="dcterms:W3CDTF">2026-05-22T16:33:12Z</dcterms:modified>
</cp:coreProperties>
</file>