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4"/>
          <w:szCs w:val="24"/>
          <w:color w:val="auto"/>
        </w:rPr>
      </w:pPr>
    </w:p>
    <w:p>
      <w:pPr>
        <w:ind w:left="3820" w:right="1600" w:hanging="3812"/>
        <w:spacing w:after="0" w:line="286" w:lineRule="auto"/>
        <w:tabs>
          <w:tab w:leader="none" w:pos="47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55" w:lineRule="exact"/>
        <w:rPr>
          <w:sz w:val="24"/>
          <w:szCs w:val="24"/>
          <w:color w:val="auto"/>
        </w:rPr>
      </w:pPr>
    </w:p>
    <w:p>
      <w:pPr>
        <w:ind w:left="2860" w:right="1600" w:hanging="2852"/>
        <w:spacing w:after="0" w:line="286" w:lineRule="auto"/>
        <w:tabs>
          <w:tab w:leader="none" w:pos="47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 to 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CCC INTELLIGENT SOLUTIONS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6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001-39447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98-1546280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450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(IRS Employer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0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222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450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4400" w:type="dxa"/>
            <w:vAlign w:val="bottom"/>
            <w:gridSpan w:val="2"/>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167 N. Green Street, 9th Floor</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00" w:type="dxa"/>
            <w:vAlign w:val="bottom"/>
            <w:vMerge w:val="restart"/>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60607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400" w:type="dxa"/>
            <w:vAlign w:val="bottom"/>
            <w:gridSpan w:val="2"/>
            <w:vMerge w:val="restart"/>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5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gridSpan w:val="2"/>
            <w:vMerge w:val="continue"/>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500" w:type="dxa"/>
            <w:vAlign w:val="bottom"/>
            <w:vMerge w:val="restart"/>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(Zip Code)</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400" w:type="dxa"/>
            <w:vAlign w:val="bottom"/>
            <w:gridSpan w:val="2"/>
            <w:vMerge w:val="restart"/>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auto"/>
            </w:tcBorders>
            <w:gridSpan w:val="2"/>
            <w:vMerge w:val="continue"/>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ind w:left="6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(800) 621-8070</w:t>
            </w:r>
          </w:p>
        </w:tc>
        <w:tc>
          <w:tcPr>
            <w:tcW w:w="4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1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1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4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50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CCC</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6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7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0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28, 2026, 586,940,536 shares of common stock, $0.0001 par value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604520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106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r>
              <w:rPr>
                <w:rFonts w:ascii="Times New Roman" w:cs="Times New Roman" w:eastAsia="Times New Roman" w:hAnsi="Times New Roman"/>
                <w:sz w:val="18"/>
                <w:szCs w:val="18"/>
                <w:b w:val="1"/>
                <w:bCs w:val="1"/>
                <w:color w:val="000000"/>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600" w:type="dxa"/>
            <w:vAlign w:val="bottom"/>
            <w:gridSpan w:val="19"/>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(unaudited) and December 31, 2025</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Consolidated Statements of Operations and Comprehensive Income (Loss) for the three months ended March 31,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2026 and 2025</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Mezzanine Equity and Stockholders’ Equity for the three months ended March 31,</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4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2026 and 2025</w:t>
            </w:r>
          </w:p>
        </w:tc>
        <w:tc>
          <w:tcPr>
            <w:tcW w:w="14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March 31, 2026 and 2025</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28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800" w:type="dxa"/>
            <w:vAlign w:val="bottom"/>
            <w:gridSpan w:val="11"/>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000" w:type="dxa"/>
            <w:vAlign w:val="bottom"/>
            <w:gridSpan w:val="5"/>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 from Registered Securities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000" w:type="dxa"/>
            <w:vAlign w:val="bottom"/>
            <w:gridSpan w:val="5"/>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20" w:type="dxa"/>
            <w:vAlign w:val="bottom"/>
            <w:gridSpan w:val="1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48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78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885"/>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80" w:type="dxa"/>
            <w:vAlign w:val="bottom"/>
            <w:gridSpan w:val="11"/>
          </w:tcPr>
          <w:p>
            <w:pPr>
              <w:jc w:val="right"/>
              <w:ind w:right="15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section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as well as other parts of this Quarterly Report on Form 10-Q contain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future financial performance and business strategies and expectations for our business.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may include information concerning our possible or assumed future results of operations, client demand, business strategies, technology developments, financing and investment plans, competitive position, our industry and regulatory environment, potential growth opportunities and the effects of competition.</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our expectations include:</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the concentration of our customers and the ability to retain our current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with our customers on favorable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brand and reputation cost-effectively;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our growth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factors outside of our control including public health outbreaks, natural catastrophes, war and terrorism;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information, growth rate and market opportunity;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of our industry, claim volumes, and market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insurance and automotive collision industries, including the adoption of new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geopolitical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market and our ability to retain and grow market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enhanced versions of our solutions;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implementation cycles;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research and development efforts to create significant new revenue streams;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international economic, political, social and governmental conditions and policies, including corruption risks in China and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data, technology and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our data and information systems secure from data security breaches;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or the public’s perceptions regarding the use of artificial intelligence (“AI”);</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invest in companies or pursue business partnerships;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and improve our capital structure;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or maintain our existing customer base;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indebtedness.</w:t>
      </w:r>
    </w:p>
    <w:p>
      <w:pPr>
        <w:spacing w:after="0" w:line="11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97" w:right="439" w:bottom="1440" w:gutter="0" w:footer="0" w:header="0"/>
        </w:sectPr>
      </w:pPr>
    </w:p>
    <w:bookmarkStart w:id="3" w:name="page4"/>
    <w:bookmarkEnd w:id="3"/>
    <w:p>
      <w:pPr>
        <w:spacing w:after="0" w:line="256" w:lineRule="auto"/>
        <w:rPr>
          <w:sz w:val="20"/>
          <w:szCs w:val="20"/>
          <w:color w:val="auto"/>
        </w:rPr>
      </w:pPr>
      <w:r>
        <w:rPr>
          <w:rFonts w:ascii="Times New Roman" w:cs="Times New Roman" w:eastAsia="Times New Roman" w:hAnsi="Times New Roman"/>
          <w:sz w:val="18"/>
          <w:szCs w:val="18"/>
          <w:color w:val="auto"/>
        </w:rPr>
        <w:t>beyond our control) or other assumptions that may cause actual results or performance to be materially different from those expressed or implied by these forward-looking statements. These risks and uncertainties include, but are not limited to, those factors described above and under the heading “Risk Factors.” 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w:t>
      </w:r>
    </w:p>
    <w:p>
      <w:pPr>
        <w:spacing w:after="0" w:line="18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03" w:lineRule="exact"/>
        <w:rPr>
          <w:sz w:val="20"/>
          <w:szCs w:val="20"/>
          <w:color w:val="auto"/>
        </w:rPr>
      </w:pPr>
    </w:p>
    <w:p>
      <w:pPr>
        <w:ind w:left="3480" w:right="2620" w:hanging="843"/>
        <w:spacing w:after="0" w:line="278" w:lineRule="auto"/>
        <w:tabs>
          <w:tab w:leader="none" w:pos="308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INTELLIGENT SOLUTIONS HOLDINGS INC. AND SUBSIDIARIES CONDENSED CONSOLIDATED BALANCE SHEETS</w:t>
      </w:r>
    </w:p>
    <w:p>
      <w:pPr>
        <w:spacing w:after="0" w:line="1" w:lineRule="exact"/>
        <w:rPr>
          <w:rFonts w:ascii="Times New Roman" w:cs="Times New Roman" w:eastAsia="Times New Roman" w:hAnsi="Times New Roman"/>
          <w:sz w:val="17"/>
          <w:szCs w:val="17"/>
          <w:b w:val="1"/>
          <w:bCs w:val="1"/>
          <w:color w:val="auto"/>
        </w:rPr>
      </w:pPr>
    </w:p>
    <w:p>
      <w:pPr>
        <w:ind w:left="43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7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7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36,900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111,192</w:t>
            </w:r>
          </w:p>
        </w:tc>
        <w:tc>
          <w:tcPr>
            <w:tcW w:w="100" w:type="dxa"/>
            <w:vAlign w:val="bottom"/>
            <w:shd w:val="clear" w:color="auto" w:fill="CFF0FC"/>
          </w:tcPr>
          <w:p>
            <w:pPr>
              <w:spacing w:after="0"/>
              <w:rPr>
                <w:sz w:val="17"/>
                <w:szCs w:val="17"/>
                <w:color w:val="auto"/>
              </w:rPr>
            </w:pPr>
          </w:p>
        </w:tc>
      </w:tr>
      <w:tr>
        <w:trPr>
          <w:trHeight w:val="189"/>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receivable—Net of allowances of $4,013 and $3,773 as of March 31, 2026 and December 31, 2025,</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137,056</w:t>
            </w:r>
          </w:p>
        </w:tc>
        <w:tc>
          <w:tcPr>
            <w:tcW w:w="100" w:type="dxa"/>
            <w:vAlign w:val="bottom"/>
          </w:tcPr>
          <w:p>
            <w:pPr>
              <w:spacing w:after="0"/>
              <w:rPr>
                <w:sz w:val="18"/>
                <w:szCs w:val="18"/>
                <w:color w:val="auto"/>
              </w:rPr>
            </w:pPr>
          </w:p>
        </w:tc>
      </w:tr>
      <w:tr>
        <w:trPr>
          <w:trHeight w:val="205"/>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Income taxes receivable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16,941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33,274</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contract costs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24,923</w:t>
            </w:r>
          </w:p>
        </w:tc>
        <w:tc>
          <w:tcPr>
            <w:tcW w:w="100" w:type="dxa"/>
            <w:vAlign w:val="bottom"/>
          </w:tcPr>
          <w:p>
            <w:pPr>
              <w:spacing w:after="0"/>
              <w:rPr>
                <w:sz w:val="17"/>
                <w:szCs w:val="17"/>
                <w:color w:val="auto"/>
              </w:rPr>
            </w:pPr>
          </w:p>
        </w:tc>
      </w:tr>
      <w:tr>
        <w:trPr>
          <w:trHeight w:val="203"/>
        </w:trPr>
        <w:tc>
          <w:tcPr>
            <w:tcW w:w="79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33,065</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28,653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250,896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335,098</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SOFTWARE, EQUIPMENT, AND PROPERTY—Net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169,007</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166,796</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36,047</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ASSETS—Net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987,778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1,010,658</w:t>
            </w:r>
          </w:p>
        </w:tc>
        <w:tc>
          <w:tcPr>
            <w:tcW w:w="100" w:type="dxa"/>
            <w:vAlign w:val="bottom"/>
            <w:shd w:val="clear" w:color="auto" w:fill="CFF0FC"/>
          </w:tcPr>
          <w:p>
            <w:pPr>
              <w:spacing w:after="0"/>
              <w:rPr>
                <w:sz w:val="17"/>
                <w:szCs w:val="17"/>
                <w:color w:val="auto"/>
              </w:rPr>
            </w:pPr>
          </w:p>
        </w:tc>
      </w:tr>
      <w:tr>
        <w:trPr>
          <w:trHeight w:val="202"/>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1,955,551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1,955,551</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FINANCING FEES, REVOLVER—Net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DEFERRED CONTRACT COSTS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22,479</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EQUITY METHOD INVESTMENT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10,228</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38,131</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35,207</w:t>
            </w:r>
          </w:p>
        </w:tc>
        <w:tc>
          <w:tcPr>
            <w:tcW w:w="100" w:type="dxa"/>
            <w:vAlign w:val="bottom"/>
            <w:tcBorders>
              <w:bottom w:val="single" w:sz="8" w:color="CFF0FC"/>
            </w:tcBorders>
          </w:tcPr>
          <w:p>
            <w:pPr>
              <w:spacing w:after="0"/>
              <w:rPr>
                <w:sz w:val="17"/>
                <w:szCs w:val="17"/>
                <w:color w:val="auto"/>
              </w:rPr>
            </w:pPr>
          </w:p>
        </w:tc>
      </w:tr>
      <w:tr>
        <w:trPr>
          <w:trHeight w:val="236"/>
        </w:trPr>
        <w:tc>
          <w:tcPr>
            <w:tcW w:w="7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3,470,788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3,573,432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7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23,613</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30,954</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55,922</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80,897</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13,033</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licensing agreement—Net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3,466</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revenues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71,479</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72,793</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 payable to minority investor</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25,953</w:t>
            </w: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25,197</w:t>
            </w:r>
          </w:p>
        </w:tc>
        <w:tc>
          <w:tcPr>
            <w:tcW w:w="100" w:type="dxa"/>
            <w:vAlign w:val="bottom"/>
          </w:tcPr>
          <w:p>
            <w:pPr>
              <w:spacing w:after="0"/>
              <w:rPr>
                <w:sz w:val="17"/>
                <w:szCs w:val="17"/>
                <w:color w:val="auto"/>
              </w:rPr>
            </w:pPr>
          </w:p>
        </w:tc>
      </w:tr>
      <w:tr>
        <w:trPr>
          <w:trHeight w:val="196"/>
        </w:trPr>
        <w:tc>
          <w:tcPr>
            <w:tcW w:w="79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200,281</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234,125</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DEBT—Net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1,262,138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1,264,941</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INCOME TAXES—Net</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202,108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199,311</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LONG-TERM LICENSING AGREEMENT—Net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20,968</w:t>
            </w: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51,626</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51,467</w:t>
            </w: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13,417</w:t>
            </w:r>
          </w:p>
        </w:tc>
        <w:tc>
          <w:tcPr>
            <w:tcW w:w="2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15,610</w:t>
            </w:r>
          </w:p>
        </w:tc>
        <w:tc>
          <w:tcPr>
            <w:tcW w:w="100" w:type="dxa"/>
            <w:vAlign w:val="bottom"/>
            <w:tcBorders>
              <w:bottom w:val="single" w:sz="8" w:color="CFF0FC"/>
            </w:tcBorders>
          </w:tcPr>
          <w:p>
            <w:pPr>
              <w:spacing w:after="0"/>
              <w:rPr>
                <w:sz w:val="17"/>
                <w:szCs w:val="17"/>
                <w:color w:val="auto"/>
              </w:rPr>
            </w:pPr>
          </w:p>
        </w:tc>
      </w:tr>
      <w:tr>
        <w:trPr>
          <w:trHeight w:val="196"/>
        </w:trPr>
        <w:tc>
          <w:tcPr>
            <w:tcW w:w="79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1,749,638</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1,786,422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(Notes 19 and 20)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Preferred stock—$0.0001 par; 100,000,000 shares authorized; no shares issued or outstanding</w:t>
            </w:r>
          </w:p>
        </w:tc>
        <w:tc>
          <w:tcPr>
            <w:tcW w:w="220" w:type="dxa"/>
            <w:vAlign w:val="bottom"/>
          </w:tcPr>
          <w:p>
            <w:pPr>
              <w:spacing w:after="0"/>
              <w:rPr>
                <w:sz w:val="17"/>
                <w:szCs w:val="17"/>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stock—$0.0001 par; 5,000,000,000 shares authorized; 586,695,554 and</w:t>
            </w: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605,449,050 shares issued and outstanding as of March 31, 2026 and December 31, 2025,</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18"/>
                <w:szCs w:val="18"/>
                <w:color w:val="auto"/>
              </w:rPr>
            </w:pP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3,502,400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3,483,031</w:t>
            </w:r>
          </w:p>
        </w:tc>
        <w:tc>
          <w:tcPr>
            <w:tcW w:w="100" w:type="dxa"/>
            <w:vAlign w:val="bottom"/>
          </w:tcPr>
          <w:p>
            <w:pPr>
              <w:spacing w:after="0"/>
              <w:rPr>
                <w:sz w:val="17"/>
                <w:szCs w:val="17"/>
                <w:color w:val="auto"/>
              </w:rPr>
            </w:pPr>
          </w:p>
        </w:tc>
      </w:tr>
      <w:tr>
        <w:trPr>
          <w:trHeight w:val="202"/>
        </w:trPr>
        <w:tc>
          <w:tcPr>
            <w:tcW w:w="7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(1,780,326)</w:t>
            </w: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(1,695,057)</w:t>
            </w:r>
          </w:p>
        </w:tc>
      </w:tr>
      <w:tr>
        <w:trPr>
          <w:trHeight w:val="203"/>
        </w:trPr>
        <w:tc>
          <w:tcPr>
            <w:tcW w:w="79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(982)</w:t>
            </w: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(1,024)</w:t>
            </w:r>
          </w:p>
        </w:tc>
      </w:tr>
      <w:tr>
        <w:trPr>
          <w:trHeight w:val="196"/>
        </w:trPr>
        <w:tc>
          <w:tcPr>
            <w:tcW w:w="7920" w:type="dxa"/>
            <w:vAlign w:val="bottom"/>
            <w:tcBorders>
              <w:top w:val="single" w:sz="8" w:color="CFF0FC"/>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1,721,150</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1,787,010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79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3,470,788</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3,573,432</w:t>
            </w:r>
          </w:p>
        </w:tc>
        <w:tc>
          <w:tcPr>
            <w:tcW w:w="100" w:type="dxa"/>
            <w:vAlign w:val="bottom"/>
          </w:tcPr>
          <w:p>
            <w:pPr>
              <w:spacing w:after="0"/>
              <w:rPr>
                <w:sz w:val="17"/>
                <w:szCs w:val="17"/>
                <w:color w:val="auto"/>
              </w:rPr>
            </w:pP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-4868545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-4868545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-3565525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-3548380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-3702685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-1614805</wp:posOffset>
            </wp:positionV>
            <wp:extent cx="939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-1614805</wp:posOffset>
            </wp:positionV>
            <wp:extent cx="939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-312420</wp:posOffset>
            </wp:positionV>
            <wp:extent cx="939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-312420</wp:posOffset>
            </wp:positionV>
            <wp:extent cx="939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7145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gridSpan w:val="6"/>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15"/>
        </w:trPr>
        <w:tc>
          <w:tcPr>
            <w:tcW w:w="7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281,274</w:t>
            </w:r>
          </w:p>
        </w:tc>
        <w:tc>
          <w:tcPr>
            <w:tcW w:w="1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251,565</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 of revenues, exclusive of amortization of acquired technologies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68,027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62,205</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acquired technologies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6"/>
                <w:szCs w:val="16"/>
                <w:color w:val="auto"/>
              </w:rPr>
              <w:t>Total cost of revenues</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72,395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66,573</w:t>
            </w:r>
          </w:p>
        </w:tc>
        <w:tc>
          <w:tcPr>
            <w:tcW w:w="2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208,879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184,992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52,524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61,763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39,418</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48,297</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18,512</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160,062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195,691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48,817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(10,699)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(20,300)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(16,926)</w:t>
            </w: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(EXPENSE)—NET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(5,097)</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PRETAX INCOME (LOSS)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(30,774)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320" w:type="dxa"/>
            <w:vAlign w:val="bottom"/>
          </w:tcPr>
          <w:p>
            <w:pPr>
              <w:spacing w:after="0"/>
              <w:rPr>
                <w:sz w:val="17"/>
                <w:szCs w:val="17"/>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(18,008)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7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NET INCOME (LOSS) INCLUDING NON-CONTROLLING</w:t>
            </w:r>
          </w:p>
        </w:tc>
        <w:tc>
          <w:tcPr>
            <w:tcW w:w="32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(17,421)</w:t>
            </w:r>
          </w:p>
        </w:tc>
        <w:tc>
          <w:tcPr>
            <w:tcW w:w="0" w:type="dxa"/>
            <w:vAlign w:val="bottom"/>
          </w:tcPr>
          <w:p>
            <w:pPr>
              <w:spacing w:after="0"/>
              <w:rPr>
                <w:sz w:val="1"/>
                <w:szCs w:val="1"/>
                <w:color w:val="auto"/>
              </w:rPr>
            </w:pPr>
          </w:p>
        </w:tc>
      </w:tr>
      <w:tr>
        <w:trPr>
          <w:trHeight w:val="202"/>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ACCRETION OF REDEEMABLE NON-CONTROLLING INTEREST</w:t>
            </w:r>
          </w:p>
        </w:tc>
        <w:tc>
          <w:tcPr>
            <w:tcW w:w="3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182"/>
        </w:trPr>
        <w:tc>
          <w:tcPr>
            <w:tcW w:w="77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NET INCOME (LOSS) ATTRIBUTABLE TO CCC INTELLIGENT</w:t>
            </w:r>
          </w:p>
        </w:tc>
        <w:tc>
          <w:tcPr>
            <w:tcW w:w="32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SOLUTIONS HOLDINGS INC. COMMON STOCKHOLDERS</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8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(18,697)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share attributable to common stockholders: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03"/>
        </w:trPr>
        <w:tc>
          <w:tcPr>
            <w:tcW w:w="7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80" w:type="dxa"/>
            <w:vAlign w:val="bottom"/>
          </w:tcPr>
          <w:p>
            <w:pPr>
              <w:spacing w:after="0"/>
              <w:rPr>
                <w:sz w:val="17"/>
                <w:szCs w:val="17"/>
                <w:color w:val="auto"/>
              </w:rPr>
            </w:pPr>
          </w:p>
        </w:tc>
        <w:tc>
          <w:tcPr>
            <w:tcW w:w="4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18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w:t>
            </w: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attributable to common stockholders:</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587,380,660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636,832,216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607,022,694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636,832,216</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income (loss) including non-controlling interest</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(17,421)</w:t>
            </w:r>
          </w:p>
        </w:tc>
        <w:tc>
          <w:tcPr>
            <w:tcW w:w="0" w:type="dxa"/>
            <w:vAlign w:val="bottom"/>
          </w:tcPr>
          <w:p>
            <w:pPr>
              <w:spacing w:after="0"/>
              <w:rPr>
                <w:sz w:val="1"/>
                <w:szCs w:val="1"/>
                <w:color w:val="auto"/>
              </w:rPr>
            </w:pPr>
          </w:p>
        </w:tc>
      </w:tr>
      <w:tr>
        <w:trPr>
          <w:trHeight w:val="189"/>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income—Foreign currency translation</w:t>
            </w:r>
          </w:p>
        </w:tc>
        <w:tc>
          <w:tcPr>
            <w:tcW w:w="32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7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adjustment</w:t>
            </w:r>
          </w:p>
        </w:tc>
        <w:tc>
          <w:tcPr>
            <w:tcW w:w="3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7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COMPREHENSIVE INCOME (LOSS) INCLUDING</w:t>
            </w:r>
          </w:p>
        </w:tc>
        <w:tc>
          <w:tcPr>
            <w:tcW w:w="32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(17,436)</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accretion of redeemable non-controlling interest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COMPREHENSIVE INCOME (LOSS) ATTRIBUTABLE TO CCC</w:t>
            </w:r>
          </w:p>
        </w:tc>
        <w:tc>
          <w:tcPr>
            <w:tcW w:w="320" w:type="dxa"/>
            <w:vAlign w:val="bottom"/>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15,459</w:t>
            </w:r>
          </w:p>
        </w:tc>
        <w:tc>
          <w:tcPr>
            <w:tcW w:w="180" w:type="dxa"/>
            <w:vAlign w:val="bottom"/>
            <w:shd w:val="clear" w:color="auto" w:fill="CFF0FC"/>
          </w:tcPr>
          <w:p>
            <w:pPr>
              <w:spacing w:after="0"/>
              <w:rPr>
                <w:sz w:val="15"/>
                <w:szCs w:val="15"/>
                <w:color w:val="auto"/>
              </w:rPr>
            </w:pPr>
          </w:p>
        </w:tc>
        <w:tc>
          <w:tcPr>
            <w:tcW w:w="100" w:type="dxa"/>
            <w:vAlign w:val="bottom"/>
            <w:vMerge w:val="restart"/>
            <w:shd w:val="clear" w:color="auto" w:fill="CFF0FC"/>
          </w:tcPr>
          <w:p>
            <w:pPr>
              <w:spacing w:after="0"/>
              <w:rPr>
                <w:sz w:val="15"/>
                <w:szCs w:val="15"/>
                <w:color w:val="auto"/>
              </w:rPr>
            </w:pPr>
          </w:p>
        </w:tc>
        <w:tc>
          <w:tcPr>
            <w:tcW w:w="380" w:type="dxa"/>
            <w:vAlign w:val="bottom"/>
            <w:vMerge w:val="restart"/>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(18,712)</w:t>
            </w:r>
          </w:p>
        </w:tc>
        <w:tc>
          <w:tcPr>
            <w:tcW w:w="0" w:type="dxa"/>
            <w:vAlign w:val="bottom"/>
          </w:tcPr>
          <w:p>
            <w:pPr>
              <w:spacing w:after="0"/>
              <w:rPr>
                <w:sz w:val="1"/>
                <w:szCs w:val="1"/>
                <w:color w:val="auto"/>
              </w:rPr>
            </w:pPr>
          </w:p>
        </w:tc>
      </w:tr>
      <w:tr>
        <w:trPr>
          <w:trHeight w:val="196"/>
        </w:trPr>
        <w:tc>
          <w:tcPr>
            <w:tcW w:w="7760" w:type="dxa"/>
            <w:vAlign w:val="bottom"/>
            <w:shd w:val="clear" w:color="auto" w:fill="CFF0FC"/>
          </w:tcPr>
          <w:p>
            <w:pPr>
              <w:ind w:left="120"/>
              <w:spacing w:after="0" w:line="176" w:lineRule="exact"/>
              <w:rPr>
                <w:sz w:val="20"/>
                <w:szCs w:val="20"/>
                <w:color w:val="auto"/>
              </w:rPr>
            </w:pPr>
            <w:r>
              <w:rPr>
                <w:rFonts w:ascii="Times New Roman" w:cs="Times New Roman" w:eastAsia="Times New Roman" w:hAnsi="Times New Roman"/>
                <w:sz w:val="16"/>
                <w:szCs w:val="16"/>
                <w:color w:val="auto"/>
              </w:rPr>
              <w:t>INTELLIGENT SOLUTIONS HOLDINGS INC. COMMON STOCKHOLDERS</w:t>
            </w:r>
          </w:p>
        </w:tc>
        <w:tc>
          <w:tcPr>
            <w:tcW w:w="320" w:type="dxa"/>
            <w:vAlign w:val="bottom"/>
            <w:vMerge w:val="continue"/>
            <w:shd w:val="clear" w:color="auto" w:fill="CFF0FC"/>
          </w:tcPr>
          <w:p>
            <w:pPr>
              <w:spacing w:after="0"/>
              <w:rPr>
                <w:sz w:val="17"/>
                <w:szCs w:val="17"/>
                <w:color w:val="auto"/>
              </w:rPr>
            </w:pPr>
          </w:p>
        </w:tc>
        <w:tc>
          <w:tcPr>
            <w:tcW w:w="116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380" w:type="dxa"/>
            <w:vAlign w:val="bottom"/>
            <w:vMerge w:val="continue"/>
            <w:shd w:val="clear" w:color="auto" w:fill="CFF0FC"/>
          </w:tcPr>
          <w:p>
            <w:pPr>
              <w:spacing w:after="0"/>
              <w:rPr>
                <w:sz w:val="17"/>
                <w:szCs w:val="17"/>
                <w:color w:val="auto"/>
              </w:rPr>
            </w:pPr>
          </w:p>
        </w:tc>
        <w:tc>
          <w:tcPr>
            <w:tcW w:w="13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-4439920</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-4439920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-3663950</wp:posOffset>
            </wp:positionV>
            <wp:extent cx="102870" cy="1708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6953250</wp:posOffset>
            </wp:positionH>
            <wp:positionV relativeFrom="paragraph">
              <wp:posOffset>-3663950</wp:posOffset>
            </wp:positionV>
            <wp:extent cx="93980" cy="1708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Preferred Stock—Issued</w:t>
            </w:r>
          </w:p>
        </w:tc>
        <w:tc>
          <w:tcPr>
            <w:tcW w:w="220" w:type="dxa"/>
            <w:vAlign w:val="bottom"/>
          </w:tcPr>
          <w:p>
            <w:pPr>
              <w:spacing w:after="0"/>
              <w:rPr>
                <w:sz w:val="17"/>
                <w:szCs w:val="17"/>
                <w:color w:val="auto"/>
              </w:rPr>
            </w:pPr>
          </w:p>
        </w:tc>
        <w:tc>
          <w:tcPr>
            <w:tcW w:w="224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Common Stock—Issued and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spacing w:after="0"/>
              <w:rPr>
                <w:sz w:val="17"/>
                <w:szCs w:val="17"/>
                <w:color w:val="auto"/>
              </w:rPr>
            </w:pPr>
          </w:p>
        </w:tc>
        <w:tc>
          <w:tcPr>
            <w:tcW w:w="200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and Outstanding</w:t>
            </w:r>
          </w:p>
        </w:tc>
        <w:tc>
          <w:tcPr>
            <w:tcW w:w="22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9"/>
              </w:rPr>
              <w:t>d</w:t>
            </w: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6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Par</w:t>
            </w:r>
          </w:p>
        </w:tc>
        <w:tc>
          <w:tcPr>
            <w:tcW w:w="220" w:type="dxa"/>
            <w:vAlign w:val="bottom"/>
          </w:tcPr>
          <w:p>
            <w:pPr>
              <w:spacing w:after="0"/>
              <w:rPr>
                <w:sz w:val="16"/>
                <w:szCs w:val="16"/>
                <w:color w:val="auto"/>
              </w:rPr>
            </w:pPr>
          </w:p>
        </w:tc>
        <w:tc>
          <w:tcPr>
            <w:tcW w:w="15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Par</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w:t>
            </w: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w:t>
            </w:r>
          </w:p>
        </w:tc>
        <w:tc>
          <w:tcPr>
            <w:tcW w:w="6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Stockhold</w:t>
            </w: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ted</w:t>
            </w:r>
          </w:p>
        </w:tc>
        <w:tc>
          <w:tcPr>
            <w:tcW w:w="160" w:type="dxa"/>
            <w:vAlign w:val="bottom"/>
          </w:tcPr>
          <w:p>
            <w:pPr>
              <w:spacing w:after="0"/>
              <w:rPr>
                <w:sz w:val="9"/>
                <w:szCs w:val="9"/>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sive</w:t>
            </w:r>
          </w:p>
        </w:tc>
        <w:tc>
          <w:tcPr>
            <w:tcW w:w="60" w:type="dxa"/>
            <w:vAlign w:val="bottom"/>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ers’</w:t>
            </w:r>
          </w:p>
        </w:tc>
        <w:tc>
          <w:tcPr>
            <w:tcW w:w="0" w:type="dxa"/>
            <w:vAlign w:val="bottom"/>
          </w:tcPr>
          <w:p>
            <w:pPr>
              <w:spacing w:after="0"/>
              <w:rPr>
                <w:sz w:val="1"/>
                <w:szCs w:val="1"/>
                <w:color w:val="auto"/>
              </w:rPr>
            </w:pPr>
          </w:p>
        </w:tc>
      </w:tr>
      <w:tr>
        <w:trPr>
          <w:trHeight w:val="98"/>
        </w:trPr>
        <w:tc>
          <w:tcPr>
            <w:tcW w:w="3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8"/>
                <w:szCs w:val="18"/>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Value</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w:t>
            </w:r>
          </w:p>
        </w:tc>
        <w:tc>
          <w:tcPr>
            <w:tcW w:w="6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8"/>
        </w:trPr>
        <w:tc>
          <w:tcPr>
            <w:tcW w:w="3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BALANCE—December 31, 2025</w:t>
            </w: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7"/>
              </w:rPr>
              <w:t>(1,695,05</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605,449,050</w:t>
            </w:r>
          </w:p>
        </w:tc>
        <w:tc>
          <w:tcPr>
            <w:tcW w:w="100" w:type="dxa"/>
            <w:vAlign w:val="bottom"/>
            <w:shd w:val="clear" w:color="auto" w:fill="CFF0FC"/>
          </w:tcPr>
          <w:p>
            <w:pPr>
              <w:spacing w:after="0"/>
              <w:rPr>
                <w:sz w:val="18"/>
                <w:szCs w:val="18"/>
                <w:color w:val="auto"/>
              </w:rPr>
            </w:pPr>
          </w:p>
        </w:tc>
        <w:tc>
          <w:tcPr>
            <w:tcW w:w="1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$ 3,483,031</w:t>
            </w:r>
          </w:p>
        </w:tc>
        <w:tc>
          <w:tcPr>
            <w:tcW w:w="10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(1,024)</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$ 1,787,010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31,871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1,165,928</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Issuance of common stock under employee</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 purchase plan</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190,081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Issuance of common stock upon vesting of</w:t>
            </w:r>
          </w:p>
        </w:tc>
        <w:tc>
          <w:tcPr>
            <w:tcW w:w="8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RSUs—net of tax</w:t>
            </w: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6,062,951</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(17,273)</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(17,272)</w:t>
            </w:r>
          </w:p>
        </w:tc>
        <w:tc>
          <w:tcPr>
            <w:tcW w:w="0" w:type="dxa"/>
            <w:vAlign w:val="bottom"/>
          </w:tcPr>
          <w:p>
            <w:pPr>
              <w:spacing w:after="0"/>
              <w:rPr>
                <w:sz w:val="1"/>
                <w:szCs w:val="1"/>
                <w:color w:val="auto"/>
              </w:rPr>
            </w:pPr>
          </w:p>
        </w:tc>
      </w:tr>
      <w:tr>
        <w:trPr>
          <w:trHeight w:val="189"/>
        </w:trPr>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Repurchase and retirement of common</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stock</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(26,172,456)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(100,163)</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(100,166)</w:t>
            </w:r>
          </w:p>
        </w:tc>
        <w:tc>
          <w:tcPr>
            <w:tcW w:w="0" w:type="dxa"/>
            <w:vAlign w:val="bottom"/>
          </w:tcPr>
          <w:p>
            <w:pPr>
              <w:spacing w:after="0"/>
              <w:rPr>
                <w:sz w:val="1"/>
                <w:szCs w:val="1"/>
                <w:color w:val="auto"/>
              </w:rPr>
            </w:pPr>
          </w:p>
        </w:tc>
      </w:tr>
      <w:tr>
        <w:trPr>
          <w:trHeight w:val="205"/>
        </w:trPr>
        <w:tc>
          <w:tcPr>
            <w:tcW w:w="3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Excise tax on repurchases of common stock</w:t>
            </w: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(523)</w:t>
            </w: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(523)</w:t>
            </w:r>
          </w:p>
        </w:tc>
        <w:tc>
          <w:tcPr>
            <w:tcW w:w="0" w:type="dxa"/>
            <w:vAlign w:val="bottom"/>
          </w:tcPr>
          <w:p>
            <w:pPr>
              <w:spacing w:after="0"/>
              <w:rPr>
                <w:sz w:val="1"/>
                <w:szCs w:val="1"/>
                <w:color w:val="auto"/>
              </w:rPr>
            </w:pPr>
          </w:p>
        </w:tc>
      </w:tr>
      <w:tr>
        <w:trPr>
          <w:trHeight w:val="203"/>
        </w:trPr>
        <w:tc>
          <w:tcPr>
            <w:tcW w:w="3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FF0FC"/>
          </w:tcPr>
          <w:p>
            <w:pPr>
              <w:spacing w:after="0"/>
              <w:rPr>
                <w:sz w:val="17"/>
                <w:szCs w:val="17"/>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00" w:type="dxa"/>
            <w:vAlign w:val="bottom"/>
            <w:tcBorders>
              <w:top w:val="single" w:sz="8" w:color="CFF0FC"/>
            </w:tcBorders>
          </w:tcPr>
          <w:p>
            <w:pPr>
              <w:spacing w:after="0" w:line="182" w:lineRule="exact"/>
              <w:rPr>
                <w:sz w:val="20"/>
                <w:szCs w:val="20"/>
                <w:color w:val="auto"/>
              </w:rPr>
            </w:pPr>
            <w:r>
              <w:rPr>
                <w:rFonts w:ascii="Times New Roman" w:cs="Times New Roman" w:eastAsia="Times New Roman" w:hAnsi="Times New Roman"/>
                <w:sz w:val="16"/>
                <w:szCs w:val="16"/>
                <w:color w:val="auto"/>
              </w:rPr>
              <w:t>BALANCE—March 31, 2026</w:t>
            </w:r>
          </w:p>
        </w:tc>
        <w:tc>
          <w:tcPr>
            <w:tcW w:w="82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7"/>
              </w:rPr>
              <w:t>(1,780,32</w:t>
            </w:r>
          </w:p>
        </w:tc>
        <w:tc>
          <w:tcPr>
            <w:tcW w:w="1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586,695,554</w:t>
            </w:r>
          </w:p>
        </w:tc>
        <w:tc>
          <w:tcPr>
            <w:tcW w:w="100" w:type="dxa"/>
            <w:vAlign w:val="bottom"/>
          </w:tcPr>
          <w:p>
            <w:pPr>
              <w:spacing w:after="0"/>
              <w:rPr>
                <w:sz w:val="18"/>
                <w:szCs w:val="18"/>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$ 3,502,400</w:t>
            </w:r>
          </w:p>
        </w:tc>
        <w:tc>
          <w:tcPr>
            <w:tcW w:w="1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$ 1,721,150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-261620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-261620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-261620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-261620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-261620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-261620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-261620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0"/>
        </w:trPr>
        <w:tc>
          <w:tcPr>
            <w:tcW w:w="3160" w:type="dxa"/>
            <w:vAlign w:val="bottom"/>
          </w:tcPr>
          <w:p>
            <w:pPr>
              <w:spacing w:after="0"/>
              <w:rPr>
                <w:sz w:val="13"/>
                <w:szCs w:val="13"/>
                <w:color w:val="auto"/>
              </w:rPr>
            </w:pPr>
          </w:p>
        </w:tc>
        <w:tc>
          <w:tcPr>
            <w:tcW w:w="940" w:type="dxa"/>
            <w:vAlign w:val="bottom"/>
            <w:tcBorders>
              <w:right w:val="single" w:sz="8" w:color="auto"/>
            </w:tcBorders>
            <w:gridSpan w:val="3"/>
          </w:tcPr>
          <w:p>
            <w:pPr>
              <w:jc w:val="center"/>
              <w:ind w:right="200"/>
              <w:spacing w:after="0" w:line="150" w:lineRule="exact"/>
              <w:rPr>
                <w:sz w:val="20"/>
                <w:szCs w:val="20"/>
                <w:color w:val="auto"/>
              </w:rPr>
            </w:pPr>
            <w:r>
              <w:rPr>
                <w:rFonts w:ascii="Times New Roman" w:cs="Times New Roman" w:eastAsia="Times New Roman" w:hAnsi="Times New Roman"/>
                <w:sz w:val="15"/>
                <w:szCs w:val="15"/>
                <w:b w:val="1"/>
                <w:bCs w:val="1"/>
                <w:color w:val="auto"/>
              </w:rPr>
              <w:t>Redeemabl</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300"/>
              <w:spacing w:after="0" w:line="162" w:lineRule="exact"/>
              <w:rPr>
                <w:sz w:val="20"/>
                <w:szCs w:val="20"/>
                <w:color w:val="auto"/>
              </w:rPr>
            </w:pPr>
            <w:r>
              <w:rPr>
                <w:rFonts w:ascii="Times New Roman" w:cs="Times New Roman" w:eastAsia="Times New Roman" w:hAnsi="Times New Roman"/>
                <w:sz w:val="15"/>
                <w:szCs w:val="15"/>
                <w:b w:val="1"/>
                <w:bCs w:val="1"/>
                <w:color w:val="auto"/>
                <w:w w:val="89"/>
              </w:rPr>
              <w:t>e</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320"/>
              <w:spacing w:after="0" w:line="162" w:lineRule="exact"/>
              <w:rPr>
                <w:sz w:val="20"/>
                <w:szCs w:val="20"/>
                <w:color w:val="auto"/>
              </w:rPr>
            </w:pPr>
            <w:r>
              <w:rPr>
                <w:rFonts w:ascii="Times New Roman" w:cs="Times New Roman" w:eastAsia="Times New Roman" w:hAnsi="Times New Roman"/>
                <w:sz w:val="15"/>
                <w:szCs w:val="15"/>
                <w:b w:val="1"/>
                <w:bCs w:val="1"/>
                <w:color w:val="auto"/>
              </w:rPr>
              <w:t>Non-</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Accumulate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940" w:type="dxa"/>
            <w:vAlign w:val="bottom"/>
            <w:tcBorders>
              <w:right w:val="single" w:sz="8" w:color="auto"/>
            </w:tcBorders>
            <w:gridSpan w:val="3"/>
            <w:vMerge w:val="restart"/>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Controllin</w:t>
            </w:r>
          </w:p>
        </w:tc>
        <w:tc>
          <w:tcPr>
            <w:tcW w:w="40" w:type="dxa"/>
            <w:vAlign w:val="bottom"/>
          </w:tcPr>
          <w:p>
            <w:pPr>
              <w:spacing w:after="0"/>
              <w:rPr>
                <w:sz w:val="7"/>
                <w:szCs w:val="7"/>
                <w:color w:val="auto"/>
              </w:rPr>
            </w:pPr>
          </w:p>
        </w:tc>
        <w:tc>
          <w:tcPr>
            <w:tcW w:w="1580" w:type="dxa"/>
            <w:vAlign w:val="bottom"/>
            <w:gridSpan w:val="4"/>
            <w:vMerge w:val="restart"/>
          </w:tcPr>
          <w:p>
            <w:pPr>
              <w:jc w:val="right"/>
              <w:ind w:right="124"/>
              <w:spacing w:after="0" w:line="162" w:lineRule="exact"/>
              <w:rPr>
                <w:sz w:val="20"/>
                <w:szCs w:val="20"/>
                <w:color w:val="auto"/>
              </w:rPr>
            </w:pPr>
            <w:r>
              <w:rPr>
                <w:rFonts w:ascii="Times New Roman" w:cs="Times New Roman" w:eastAsia="Times New Roman" w:hAnsi="Times New Roman"/>
                <w:sz w:val="15"/>
                <w:szCs w:val="15"/>
                <w:b w:val="1"/>
                <w:bCs w:val="1"/>
                <w:color w:val="auto"/>
              </w:rPr>
              <w:t>Preferred Stock—</w:t>
            </w:r>
          </w:p>
        </w:tc>
        <w:tc>
          <w:tcPr>
            <w:tcW w:w="160" w:type="dxa"/>
            <w:vAlign w:val="bottom"/>
          </w:tcPr>
          <w:p>
            <w:pPr>
              <w:spacing w:after="0"/>
              <w:rPr>
                <w:sz w:val="7"/>
                <w:szCs w:val="7"/>
                <w:color w:val="auto"/>
              </w:rPr>
            </w:pPr>
          </w:p>
        </w:tc>
        <w:tc>
          <w:tcPr>
            <w:tcW w:w="1860" w:type="dxa"/>
            <w:vAlign w:val="bottom"/>
            <w:gridSpan w:val="6"/>
            <w:vMerge w:val="restart"/>
          </w:tcPr>
          <w:p>
            <w:pPr>
              <w:jc w:val="right"/>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Common Stock—Issued</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940" w:type="dxa"/>
            <w:vAlign w:val="bottom"/>
            <w:tcBorders>
              <w:right w:val="single" w:sz="8" w:color="auto"/>
            </w:tcBorders>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8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5"/>
              </w:rPr>
              <w:t>d</w:t>
            </w: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w:t>
            </w:r>
          </w:p>
        </w:tc>
        <w:tc>
          <w:tcPr>
            <w:tcW w:w="40" w:type="dxa"/>
            <w:vAlign w:val="bottom"/>
          </w:tcPr>
          <w:p>
            <w:pPr>
              <w:spacing w:after="0"/>
              <w:rPr>
                <w:sz w:val="10"/>
                <w:szCs w:val="10"/>
                <w:color w:val="auto"/>
              </w:rPr>
            </w:pPr>
          </w:p>
        </w:tc>
        <w:tc>
          <w:tcPr>
            <w:tcW w:w="15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Issued and Outstanding</w:t>
            </w:r>
          </w:p>
        </w:tc>
        <w:tc>
          <w:tcPr>
            <w:tcW w:w="160" w:type="dxa"/>
            <w:vAlign w:val="bottom"/>
          </w:tcPr>
          <w:p>
            <w:pPr>
              <w:spacing w:after="0"/>
              <w:rPr>
                <w:sz w:val="10"/>
                <w:szCs w:val="10"/>
                <w:color w:val="auto"/>
              </w:rPr>
            </w:pPr>
          </w:p>
        </w:tc>
        <w:tc>
          <w:tcPr>
            <w:tcW w:w="14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and Outstanding</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right w:val="single" w:sz="8" w:color="auto"/>
            </w:tcBorders>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Additio</w:t>
            </w: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right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center"/>
              <w:ind w:right="260"/>
              <w:spacing w:after="0" w:line="170" w:lineRule="exact"/>
              <w:rPr>
                <w:sz w:val="20"/>
                <w:szCs w:val="20"/>
                <w:color w:val="auto"/>
              </w:rPr>
            </w:pPr>
            <w:r>
              <w:rPr>
                <w:rFonts w:ascii="Times New Roman" w:cs="Times New Roman" w:eastAsia="Times New Roman" w:hAnsi="Times New Roman"/>
                <w:sz w:val="15"/>
                <w:szCs w:val="15"/>
                <w:b w:val="1"/>
                <w:bCs w:val="1"/>
                <w:color w:val="auto"/>
              </w:rPr>
              <w:t>nal</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3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Accumula</w:t>
            </w:r>
          </w:p>
        </w:tc>
        <w:tc>
          <w:tcPr>
            <w:tcW w:w="60" w:type="dxa"/>
            <w:vAlign w:val="bottom"/>
          </w:tcPr>
          <w:p>
            <w:pPr>
              <w:spacing w:after="0"/>
              <w:rPr>
                <w:sz w:val="4"/>
                <w:szCs w:val="4"/>
                <w:color w:val="auto"/>
              </w:rPr>
            </w:pPr>
          </w:p>
        </w:tc>
        <w:tc>
          <w:tcPr>
            <w:tcW w:w="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Comprehen</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Stockhold</w:t>
            </w:r>
          </w:p>
        </w:tc>
        <w:tc>
          <w:tcPr>
            <w:tcW w:w="0" w:type="dxa"/>
            <w:vAlign w:val="bottom"/>
          </w:tcPr>
          <w:p>
            <w:pPr>
              <w:spacing w:after="0"/>
              <w:rPr>
                <w:sz w:val="1"/>
                <w:szCs w:val="1"/>
                <w:color w:val="auto"/>
              </w:rPr>
            </w:pPr>
          </w:p>
        </w:tc>
      </w:tr>
      <w:tr>
        <w:trPr>
          <w:trHeight w:val="134"/>
        </w:trPr>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5"/>
                <w:szCs w:val="15"/>
                <w:b w:val="1"/>
                <w:bCs w:val="1"/>
                <w:color w:val="auto"/>
              </w:rPr>
              <w:t>Number</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184"/>
              <w:spacing w:after="0"/>
              <w:rPr>
                <w:sz w:val="20"/>
                <w:szCs w:val="20"/>
                <w:color w:val="auto"/>
              </w:rPr>
            </w:pPr>
            <w:r>
              <w:rPr>
                <w:rFonts w:ascii="Times New Roman" w:cs="Times New Roman" w:eastAsia="Times New Roman" w:hAnsi="Times New Roman"/>
                <w:sz w:val="15"/>
                <w:szCs w:val="15"/>
                <w:b w:val="1"/>
                <w:bCs w:val="1"/>
                <w:color w:val="auto"/>
              </w:rPr>
              <w:t>Par</w:t>
            </w:r>
          </w:p>
        </w:tc>
        <w:tc>
          <w:tcPr>
            <w:tcW w:w="160" w:type="dxa"/>
            <w:vAlign w:val="bottom"/>
          </w:tcPr>
          <w:p>
            <w:pPr>
              <w:spacing w:after="0"/>
              <w:rPr>
                <w:sz w:val="11"/>
                <w:szCs w:val="11"/>
                <w:color w:val="auto"/>
              </w:rPr>
            </w:pPr>
          </w:p>
        </w:tc>
        <w:tc>
          <w:tcPr>
            <w:tcW w:w="13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60" w:type="dxa"/>
            <w:vAlign w:val="bottom"/>
          </w:tcPr>
          <w:p>
            <w:pPr>
              <w:spacing w:after="0"/>
              <w:rPr>
                <w:sz w:val="11"/>
                <w:szCs w:val="11"/>
                <w:color w:val="auto"/>
              </w:rPr>
            </w:pPr>
          </w:p>
        </w:tc>
        <w:tc>
          <w:tcPr>
            <w:tcW w:w="5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Par</w:t>
            </w:r>
          </w:p>
        </w:tc>
        <w:tc>
          <w:tcPr>
            <w:tcW w:w="80" w:type="dxa"/>
            <w:vAlign w:val="bottom"/>
          </w:tcPr>
          <w:p>
            <w:pPr>
              <w:spacing w:after="0"/>
              <w:rPr>
                <w:sz w:val="11"/>
                <w:szCs w:val="11"/>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80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sive</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ers’</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Valu</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60" w:type="dxa"/>
            <w:vAlign w:val="bottom"/>
          </w:tcPr>
          <w:p>
            <w:pPr>
              <w:spacing w:after="0"/>
              <w:rPr>
                <w:sz w:val="10"/>
                <w:szCs w:val="10"/>
                <w:color w:val="auto"/>
              </w:rPr>
            </w:pPr>
          </w:p>
        </w:tc>
        <w:tc>
          <w:tcPr>
            <w:tcW w:w="13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tcPr>
          <w:p>
            <w:pPr>
              <w:spacing w:after="0"/>
              <w:rPr>
                <w:sz w:val="10"/>
                <w:szCs w:val="10"/>
                <w:color w:val="auto"/>
              </w:rPr>
            </w:pPr>
          </w:p>
        </w:tc>
        <w:tc>
          <w:tcPr>
            <w:tcW w:w="5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0"/>
                <w:szCs w:val="10"/>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0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21"/>
        </w:trPr>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89"/>
              </w:rPr>
              <w:t>e</w:t>
            </w: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3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3260" w:type="dxa"/>
            <w:vAlign w:val="bottom"/>
            <w:gridSpan w:val="2"/>
            <w:shd w:val="clear" w:color="auto" w:fill="CFF0FC"/>
          </w:tcPr>
          <w:p>
            <w:pPr>
              <w:spacing w:after="0" w:line="145" w:lineRule="exact"/>
              <w:rPr>
                <w:sz w:val="20"/>
                <w:szCs w:val="20"/>
                <w:color w:val="auto"/>
              </w:rPr>
            </w:pPr>
            <w:r>
              <w:rPr>
                <w:rFonts w:ascii="Times New Roman" w:cs="Times New Roman" w:eastAsia="Times New Roman" w:hAnsi="Times New Roman"/>
                <w:sz w:val="15"/>
                <w:szCs w:val="15"/>
                <w:color w:val="auto"/>
              </w:rPr>
              <w:t>BALANCE—December 31, 2024</w:t>
            </w:r>
          </w:p>
        </w:tc>
        <w:tc>
          <w:tcPr>
            <w:tcW w:w="64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5"/>
                <w:szCs w:val="15"/>
                <w:color w:val="auto"/>
              </w:rPr>
              <w:t>3,094,1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5"/>
                <w:szCs w:val="15"/>
                <w:color w:val="auto"/>
              </w:rPr>
              <w:t>(1,095,2</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5"/>
                <w:szCs w:val="15"/>
                <w:color w:val="auto"/>
              </w:rPr>
              <w:t>1,997,82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60" w:type="dxa"/>
            <w:vAlign w:val="bottom"/>
            <w:gridSpan w:val="2"/>
            <w:shd w:val="clear" w:color="auto" w:fill="CFF0FC"/>
          </w:tcPr>
          <w:p>
            <w:pPr>
              <w:ind w:left="31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21,679</w:t>
            </w:r>
          </w:p>
        </w:tc>
        <w:tc>
          <w:tcPr>
            <w:tcW w:w="200" w:type="dxa"/>
            <w:vAlign w:val="bottom"/>
            <w:tcBorders>
              <w:right w:val="single" w:sz="8" w:color="auto"/>
            </w:tcBorders>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w w:val="93"/>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629,207,115</w:t>
            </w: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(1,195)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840" w:type="dxa"/>
            <w:vAlign w:val="bottom"/>
            <w:tcBorders>
              <w:right w:val="single" w:sz="8" w:color="auto"/>
            </w:tcBorders>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660" w:type="dxa"/>
            <w:vAlign w:val="bottom"/>
          </w:tcPr>
          <w:p>
            <w:pPr>
              <w:ind w:left="50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61,048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61,048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Exercise of stock options</w:t>
            </w:r>
          </w:p>
        </w:tc>
        <w:tc>
          <w:tcPr>
            <w:tcW w:w="840" w:type="dxa"/>
            <w:vAlign w:val="bottom"/>
            <w:tcBorders>
              <w:right w:val="single" w:sz="8" w:color="auto"/>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4"/>
                <w:szCs w:val="14"/>
                <w:color w:val="auto"/>
              </w:rPr>
            </w:pPr>
          </w:p>
        </w:tc>
        <w:tc>
          <w:tcPr>
            <w:tcW w:w="660" w:type="dxa"/>
            <w:vAlign w:val="bottom"/>
            <w:shd w:val="clear" w:color="auto" w:fill="CFF0FC"/>
          </w:tcPr>
          <w:p>
            <w:pPr>
              <w:ind w:left="50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330,413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956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956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2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common stock under employee stock</w:t>
            </w:r>
          </w:p>
        </w:tc>
        <w:tc>
          <w:tcPr>
            <w:tcW w:w="6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purchase plan</w:t>
            </w:r>
          </w:p>
        </w:tc>
        <w:tc>
          <w:tcPr>
            <w:tcW w:w="8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174,906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260" w:type="dxa"/>
            <w:vAlign w:val="bottom"/>
            <w:gridSpan w:val="2"/>
            <w:shd w:val="clear" w:color="auto" w:fill="CFF0FC"/>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common stock upon vesting of RSUs</w:t>
            </w:r>
          </w:p>
        </w:tc>
        <w:tc>
          <w:tcPr>
            <w:tcW w:w="64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5" w:lineRule="exact"/>
              <w:rPr>
                <w:sz w:val="20"/>
                <w:szCs w:val="20"/>
                <w:color w:val="auto"/>
              </w:rPr>
            </w:pPr>
            <w:r>
              <w:rPr>
                <w:rFonts w:ascii="Times New Roman" w:cs="Times New Roman" w:eastAsia="Times New Roman" w:hAnsi="Times New Roman"/>
                <w:sz w:val="15"/>
                <w:szCs w:val="15"/>
                <w:color w:val="auto"/>
              </w:rPr>
              <w:t>(43,47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6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5"/>
                <w:szCs w:val="15"/>
                <w:color w:val="auto"/>
              </w:rPr>
              <w:t>—net of tax</w:t>
            </w:r>
          </w:p>
        </w:tc>
        <w:tc>
          <w:tcPr>
            <w:tcW w:w="84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9,095,994</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(43,471)</w:t>
            </w:r>
          </w:p>
        </w:tc>
        <w:tc>
          <w:tcPr>
            <w:tcW w:w="0" w:type="dxa"/>
            <w:vAlign w:val="bottom"/>
          </w:tcPr>
          <w:p>
            <w:pPr>
              <w:spacing w:after="0"/>
              <w:rPr>
                <w:sz w:val="1"/>
                <w:szCs w:val="1"/>
                <w:color w:val="auto"/>
              </w:rPr>
            </w:pPr>
          </w:p>
        </w:tc>
      </w:tr>
      <w:tr>
        <w:trPr>
          <w:trHeight w:val="145"/>
        </w:trPr>
        <w:tc>
          <w:tcPr>
            <w:tcW w:w="32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5"/>
                <w:szCs w:val="15"/>
                <w:color w:val="auto"/>
              </w:rPr>
              <w:t>Issuance of restricted stock awards for business</w:t>
            </w:r>
          </w:p>
        </w:tc>
        <w:tc>
          <w:tcPr>
            <w:tcW w:w="6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acquisition</w:t>
            </w:r>
          </w:p>
        </w:tc>
        <w:tc>
          <w:tcPr>
            <w:tcW w:w="8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792,174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5"/>
        </w:trPr>
        <w:tc>
          <w:tcPr>
            <w:tcW w:w="3260" w:type="dxa"/>
            <w:vAlign w:val="bottom"/>
            <w:gridSpan w:val="2"/>
            <w:shd w:val="clear" w:color="auto" w:fill="CFF0FC"/>
          </w:tcPr>
          <w:p>
            <w:pPr>
              <w:ind w:left="60"/>
              <w:spacing w:after="0" w:line="135" w:lineRule="exact"/>
              <w:rPr>
                <w:sz w:val="20"/>
                <w:szCs w:val="20"/>
                <w:color w:val="auto"/>
              </w:rPr>
            </w:pPr>
            <w:r>
              <w:rPr>
                <w:rFonts w:ascii="Times New Roman" w:cs="Times New Roman" w:eastAsia="Times New Roman" w:hAnsi="Times New Roman"/>
                <w:sz w:val="15"/>
                <w:szCs w:val="15"/>
                <w:color w:val="auto"/>
              </w:rPr>
              <w:t>Issuance of common stock for business</w:t>
            </w:r>
          </w:p>
        </w:tc>
        <w:tc>
          <w:tcPr>
            <w:tcW w:w="640" w:type="dxa"/>
            <w:vAlign w:val="bottom"/>
            <w:shd w:val="clear" w:color="auto" w:fill="CFF0FC"/>
          </w:tcPr>
          <w:p>
            <w:pPr>
              <w:spacing w:after="0"/>
              <w:rPr>
                <w:sz w:val="11"/>
                <w:szCs w:val="11"/>
                <w:color w:val="auto"/>
              </w:rPr>
            </w:pPr>
          </w:p>
        </w:tc>
        <w:tc>
          <w:tcPr>
            <w:tcW w:w="20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5"/>
                <w:szCs w:val="15"/>
                <w:color w:val="auto"/>
              </w:rPr>
              <w:t>250,43</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60" w:type="dxa"/>
            <w:vAlign w:val="bottom"/>
            <w:gridSpan w:val="2"/>
            <w:shd w:val="clear" w:color="auto" w:fill="CFF0FC"/>
          </w:tcPr>
          <w:p>
            <w:pPr>
              <w:ind w:left="60"/>
              <w:spacing w:after="0" w:line="189" w:lineRule="exact"/>
              <w:rPr>
                <w:sz w:val="20"/>
                <w:szCs w:val="20"/>
                <w:color w:val="auto"/>
              </w:rPr>
            </w:pPr>
            <w:r>
              <w:rPr>
                <w:rFonts w:ascii="Times New Roman" w:cs="Times New Roman" w:eastAsia="Times New Roman" w:hAnsi="Times New Roman"/>
                <w:sz w:val="15"/>
                <w:szCs w:val="15"/>
                <w:color w:val="auto"/>
              </w:rPr>
              <w:t xml:space="preserve">acquisition </w:t>
            </w:r>
            <w:r>
              <w:rPr>
                <w:rFonts w:ascii="Times New Roman" w:cs="Times New Roman" w:eastAsia="Times New Roman" w:hAnsi="Times New Roman"/>
                <w:sz w:val="20"/>
                <w:szCs w:val="20"/>
                <w:color w:val="auto"/>
                <w:vertAlign w:val="superscript"/>
              </w:rPr>
              <w:t>(1)</w:t>
            </w:r>
          </w:p>
        </w:tc>
        <w:tc>
          <w:tcPr>
            <w:tcW w:w="84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6"/>
                <w:szCs w:val="16"/>
                <w:color w:val="auto"/>
              </w:rPr>
            </w:pPr>
          </w:p>
        </w:tc>
        <w:tc>
          <w:tcPr>
            <w:tcW w:w="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26,035,603</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250,441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5"/>
                <w:szCs w:val="15"/>
                <w:color w:val="auto"/>
              </w:rPr>
              <w:t>Repurchase and retirement of common stock</w:t>
            </w:r>
          </w:p>
        </w:tc>
        <w:tc>
          <w:tcPr>
            <w:tcW w:w="840" w:type="dxa"/>
            <w:vAlign w:val="bottom"/>
            <w:tcBorders>
              <w:right w:val="single" w:sz="8" w:color="auto"/>
            </w:tcBorders>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660" w:type="dxa"/>
            <w:vAlign w:val="bottom"/>
          </w:tcPr>
          <w:p>
            <w:pPr>
              <w:ind w:left="50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60" w:type="dxa"/>
            <w:vAlign w:val="bottom"/>
            <w:gridSpan w:val="3"/>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(7,000,000)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(72,274)</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(72,275)</w:t>
            </w:r>
          </w:p>
        </w:tc>
        <w:tc>
          <w:tcPr>
            <w:tcW w:w="0" w:type="dxa"/>
            <w:vAlign w:val="bottom"/>
          </w:tcPr>
          <w:p>
            <w:pPr>
              <w:spacing w:after="0"/>
              <w:rPr>
                <w:sz w:val="1"/>
                <w:szCs w:val="1"/>
                <w:color w:val="auto"/>
              </w:rPr>
            </w:pPr>
          </w:p>
        </w:tc>
      </w:tr>
      <w:tr>
        <w:trPr>
          <w:trHeight w:val="162"/>
        </w:trPr>
        <w:tc>
          <w:tcPr>
            <w:tcW w:w="3260" w:type="dxa"/>
            <w:vAlign w:val="bottom"/>
            <w:gridSpan w:val="2"/>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Accretion of redeemable non-controlling interest</w:t>
            </w:r>
          </w:p>
        </w:tc>
        <w:tc>
          <w:tcPr>
            <w:tcW w:w="64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1,276</w:t>
            </w:r>
          </w:p>
        </w:tc>
        <w:tc>
          <w:tcPr>
            <w:tcW w:w="20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60" w:type="dxa"/>
            <w:vAlign w:val="bottom"/>
            <w:shd w:val="clear" w:color="auto" w:fill="CFF0FC"/>
          </w:tcPr>
          <w:p>
            <w:pPr>
              <w:ind w:left="50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(1,276)</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(1,276)</w:t>
            </w:r>
          </w:p>
        </w:tc>
        <w:tc>
          <w:tcPr>
            <w:tcW w:w="0" w:type="dxa"/>
            <w:vAlign w:val="bottom"/>
          </w:tcPr>
          <w:p>
            <w:pPr>
              <w:spacing w:after="0"/>
              <w:rPr>
                <w:sz w:val="1"/>
                <w:szCs w:val="1"/>
                <w:color w:val="auto"/>
              </w:rPr>
            </w:pPr>
          </w:p>
        </w:tc>
      </w:tr>
      <w:tr>
        <w:trPr>
          <w:trHeight w:val="145"/>
        </w:trPr>
        <w:tc>
          <w:tcPr>
            <w:tcW w:w="3260" w:type="dxa"/>
            <w:vAlign w:val="bottom"/>
            <w:gridSpan w:val="2"/>
          </w:tcPr>
          <w:p>
            <w:pPr>
              <w:ind w:left="60"/>
              <w:spacing w:after="0" w:line="145" w:lineRule="exact"/>
              <w:rPr>
                <w:sz w:val="20"/>
                <w:szCs w:val="20"/>
                <w:color w:val="auto"/>
              </w:rPr>
            </w:pPr>
            <w:r>
              <w:rPr>
                <w:rFonts w:ascii="Times New Roman" w:cs="Times New Roman" w:eastAsia="Times New Roman" w:hAnsi="Times New Roman"/>
                <w:sz w:val="15"/>
                <w:szCs w:val="15"/>
                <w:color w:val="auto"/>
              </w:rPr>
              <w:t>Reclassification of redeemable non-controlling</w:t>
            </w:r>
          </w:p>
        </w:tc>
        <w:tc>
          <w:tcPr>
            <w:tcW w:w="6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interest to note payable to minority investor</w:t>
            </w: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(22,955)</w:t>
            </w:r>
          </w:p>
        </w:tc>
        <w:tc>
          <w:tcPr>
            <w:tcW w:w="4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3260" w:type="dxa"/>
            <w:vAlign w:val="bottom"/>
            <w:gridSpan w:val="2"/>
            <w:shd w:val="clear" w:color="auto" w:fill="CFF0FC"/>
          </w:tcPr>
          <w:p>
            <w:pPr>
              <w:ind w:left="60"/>
              <w:spacing w:after="0" w:line="162"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40" w:type="dxa"/>
            <w:vAlign w:val="bottom"/>
            <w:tcBorders>
              <w:right w:val="single" w:sz="8" w:color="auto"/>
            </w:tcBorders>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4"/>
                <w:szCs w:val="14"/>
                <w:color w:val="auto"/>
              </w:rPr>
            </w:pPr>
          </w:p>
        </w:tc>
        <w:tc>
          <w:tcPr>
            <w:tcW w:w="660" w:type="dxa"/>
            <w:vAlign w:val="bottom"/>
            <w:shd w:val="clear" w:color="auto" w:fill="CFF0FC"/>
          </w:tcPr>
          <w:p>
            <w:pPr>
              <w:ind w:left="50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62"/>
        </w:trPr>
        <w:tc>
          <w:tcPr>
            <w:tcW w:w="3160" w:type="dxa"/>
            <w:vAlign w:val="bottom"/>
          </w:tcPr>
          <w:p>
            <w:pPr>
              <w:ind w:left="60"/>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ind w:left="500"/>
              <w:spacing w:after="0" w:line="162" w:lineRule="exact"/>
              <w:rPr>
                <w:sz w:val="20"/>
                <w:szCs w:val="20"/>
                <w:color w:val="auto"/>
              </w:rPr>
            </w:pPr>
            <w:r>
              <w:rPr>
                <w:rFonts w:ascii="Times New Roman" w:cs="Times New Roman" w:eastAsia="Times New Roman" w:hAnsi="Times New Roman"/>
                <w:sz w:val="15"/>
                <w:szCs w:val="15"/>
                <w:color w:val="auto"/>
                <w:w w:val="93"/>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1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(17,421)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(17,421)</w:t>
            </w:r>
          </w:p>
        </w:tc>
        <w:tc>
          <w:tcPr>
            <w:tcW w:w="0" w:type="dxa"/>
            <w:vAlign w:val="bottom"/>
          </w:tcPr>
          <w:p>
            <w:pPr>
              <w:spacing w:after="0"/>
              <w:rPr>
                <w:sz w:val="1"/>
                <w:szCs w:val="1"/>
                <w:color w:val="auto"/>
              </w:rPr>
            </w:pPr>
          </w:p>
        </w:tc>
      </w:tr>
      <w:tr>
        <w:trPr>
          <w:trHeight w:val="138"/>
        </w:trPr>
        <w:tc>
          <w:tcPr>
            <w:tcW w:w="3160" w:type="dxa"/>
            <w:vAlign w:val="bottom"/>
            <w:shd w:val="clear" w:color="auto" w:fill="CFF0FC"/>
          </w:tcPr>
          <w:p>
            <w:pPr>
              <w:spacing w:after="0" w:line="138" w:lineRule="exact"/>
              <w:rPr>
                <w:sz w:val="20"/>
                <w:szCs w:val="20"/>
                <w:color w:val="auto"/>
              </w:rPr>
            </w:pPr>
            <w:r>
              <w:rPr>
                <w:rFonts w:ascii="Times New Roman" w:cs="Times New Roman" w:eastAsia="Times New Roman" w:hAnsi="Times New Roman"/>
                <w:sz w:val="15"/>
                <w:szCs w:val="15"/>
                <w:color w:val="auto"/>
              </w:rPr>
              <w:t>BALANCE—March 31, 2025</w:t>
            </w: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jc w:val="right"/>
              <w:spacing w:after="0" w:line="138" w:lineRule="exact"/>
              <w:rPr>
                <w:sz w:val="20"/>
                <w:szCs w:val="20"/>
                <w:color w:val="auto"/>
              </w:rPr>
            </w:pPr>
            <w:r>
              <w:rPr>
                <w:rFonts w:ascii="Times New Roman" w:cs="Times New Roman" w:eastAsia="Times New Roman" w:hAnsi="Times New Roman"/>
                <w:sz w:val="15"/>
                <w:szCs w:val="15"/>
                <w:color w:val="auto"/>
              </w:rPr>
              <w:t>3,363,5</w:t>
            </w: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jc w:val="right"/>
              <w:spacing w:after="0" w:line="138" w:lineRule="exact"/>
              <w:rPr>
                <w:sz w:val="20"/>
                <w:szCs w:val="20"/>
                <w:color w:val="auto"/>
              </w:rPr>
            </w:pPr>
            <w:r>
              <w:rPr>
                <w:rFonts w:ascii="Times New Roman" w:cs="Times New Roman" w:eastAsia="Times New Roman" w:hAnsi="Times New Roman"/>
                <w:sz w:val="15"/>
                <w:szCs w:val="15"/>
                <w:color w:val="auto"/>
              </w:rPr>
              <w:t>(1,184,9</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38" w:lineRule="exact"/>
              <w:rPr>
                <w:sz w:val="20"/>
                <w:szCs w:val="20"/>
                <w:color w:val="auto"/>
              </w:rPr>
            </w:pPr>
            <w:r>
              <w:rPr>
                <w:rFonts w:ascii="Times New Roman" w:cs="Times New Roman" w:eastAsia="Times New Roman" w:hAnsi="Times New Roman"/>
                <w:sz w:val="15"/>
                <w:szCs w:val="15"/>
                <w:color w:val="auto"/>
              </w:rPr>
              <w:t>2,177,46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3260" w:type="dxa"/>
            <w:vAlign w:val="bottom"/>
            <w:gridSpan w:val="2"/>
            <w:shd w:val="clear" w:color="auto" w:fill="CFF0FC"/>
          </w:tcPr>
          <w:p>
            <w:pPr>
              <w:ind w:left="3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right w:val="single" w:sz="8" w:color="auto"/>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5"/>
                <w:szCs w:val="15"/>
                <w:color w:val="auto"/>
                <w:w w:val="93"/>
              </w:rPr>
              <w:t>—</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658,636,205</w:t>
            </w:r>
          </w:p>
        </w:tc>
        <w:tc>
          <w:tcPr>
            <w:tcW w:w="12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66</w:t>
            </w:r>
          </w:p>
        </w:tc>
        <w:tc>
          <w:tcPr>
            <w:tcW w:w="14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5"/>
                <w:szCs w:val="15"/>
                <w:color w:val="auto"/>
              </w:rPr>
              <w:t>22)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5"/>
                <w:szCs w:val="15"/>
                <w:color w:val="auto"/>
              </w:rPr>
              <w:t>(1,210)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380" w:firstLine="8"/>
        <w:spacing w:after="0"/>
        <w:tabs>
          <w:tab w:leader="none" w:pos="170" w:val="left"/>
        </w:tabs>
        <w:numPr>
          <w:ilvl w:val="0"/>
          <w:numId w:val="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Issuance of common stock for business acquisition includes 10,356,096 of restricted shares of common stock subject to re-vesting requirements (see Note 17).</w:t>
      </w:r>
    </w:p>
    <w:p>
      <w:pPr>
        <w:spacing w:after="0" w:line="220"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See notes to condensed consolidated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$2,797$CCC INTELLIGENT SOLUTIONS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5"/>
          <w:szCs w:val="15"/>
          <w:b w:val="1"/>
          <w:bCs w:val="1"/>
          <w:color w:val="auto"/>
        </w:rPr>
        <w:t>For the Three Months Ended</w:t>
      </w:r>
    </w:p>
    <w:p>
      <w:pPr>
        <w:jc w:val="center"/>
        <w:ind w:left="8160"/>
        <w:spacing w:after="0"/>
        <w:rPr>
          <w:sz w:val="20"/>
          <w:szCs w:val="20"/>
          <w:color w:val="auto"/>
        </w:rPr>
      </w:pPr>
      <w:r>
        <w:rPr>
          <w:rFonts w:ascii="Times New Roman" w:cs="Times New Roman" w:eastAsia="Times New Roman" w:hAnsi="Times New Roman"/>
          <w:sz w:val="15"/>
          <w:szCs w:val="15"/>
          <w:b w:val="1"/>
          <w:bCs w:val="1"/>
          <w:color w:val="auto"/>
        </w:rPr>
        <w:t>March 31,</w:t>
      </w:r>
    </w:p>
    <w:tbl>
      <w:tblPr>
        <w:tblLayout w:type="fixed"/>
        <w:tblInd w:w="0" w:type="dxa"/>
        <w:tblCellMar>
          <w:top w:w="0" w:type="dxa"/>
          <w:left w:w="0" w:type="dxa"/>
          <w:bottom w:w="0" w:type="dxa"/>
          <w:right w:w="0" w:type="dxa"/>
        </w:tblCellMar>
      </w:tblPr>
      <w:tr>
        <w:trPr>
          <w:trHeight w:val="156"/>
        </w:trPr>
        <w:tc>
          <w:tcPr>
            <w:tcW w:w="83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2026</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24"/>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3"/>
                <w:szCs w:val="13"/>
                <w:color w:val="auto"/>
              </w:rPr>
            </w:pPr>
          </w:p>
        </w:tc>
      </w:tr>
      <w:tr>
        <w:trPr>
          <w:trHeight w:val="156"/>
        </w:trPr>
        <w:tc>
          <w:tcPr>
            <w:tcW w:w="8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15,417</w:t>
            </w:r>
          </w:p>
        </w:tc>
        <w:tc>
          <w:tcPr>
            <w:tcW w:w="260" w:type="dxa"/>
            <w:vAlign w:val="bottom"/>
          </w:tcPr>
          <w:p>
            <w:pPr>
              <w:spacing w:after="0"/>
              <w:rPr>
                <w:sz w:val="14"/>
                <w:szCs w:val="14"/>
                <w:color w:val="auto"/>
              </w:rPr>
            </w:pPr>
          </w:p>
        </w:tc>
        <w:tc>
          <w:tcPr>
            <w:tcW w:w="280" w:type="dxa"/>
            <w:vAlign w:val="bottom"/>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(17,421)</w:t>
            </w: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Adjustments to reconcile net income (loss) to net cash provided by operating activities: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Depreciation and amortization of software, equipment, and property</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13,393</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13,595</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intangible assets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22,880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22,880</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2,797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(13,354)</w:t>
            </w:r>
          </w:p>
        </w:tc>
      </w:tr>
      <w:tr>
        <w:trPr>
          <w:trHeight w:val="162"/>
        </w:trPr>
        <w:tc>
          <w:tcPr>
            <w:tcW w:w="830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Stock-based compensation</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31,871</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61,048</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fees</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511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474</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Amortization of discount on debt</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Change in fair value of derivative instruments</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(4,395)</w:t>
            </w: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5,741</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Noncash interest expense</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756</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830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Accounts receivable—Net</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(3,437)</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7,364</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Deferred contract costs</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1,424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(511)</w:t>
            </w: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Other current assets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(4,412)</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(2,394)</w:t>
            </w: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Deferred contract costs—Non-current</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(46)</w:t>
            </w: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(603)</w:t>
            </w: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Other assets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(2,924)</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(2,346)</w:t>
            </w: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Operating lease assets</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651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701</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Income taxes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17,319</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(1,100)</w:t>
            </w: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(7,341)</w:t>
            </w: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4,956</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Accrued expenses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(25,104)</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(20,983)</w:t>
            </w: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(866)</w:t>
            </w: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(1,292)</w:t>
            </w:r>
          </w:p>
        </w:tc>
      </w:tr>
      <w:tr>
        <w:trPr>
          <w:trHeight w:val="162"/>
        </w:trPr>
        <w:tc>
          <w:tcPr>
            <w:tcW w:w="8300" w:type="dxa"/>
            <w:vAlign w:val="bottom"/>
            <w:shd w:val="clear" w:color="auto" w:fill="CFF0FC"/>
          </w:tcPr>
          <w:p>
            <w:pPr>
              <w:ind w:left="460"/>
              <w:spacing w:after="0" w:line="162" w:lineRule="exact"/>
              <w:rPr>
                <w:sz w:val="20"/>
                <w:szCs w:val="20"/>
                <w:color w:val="auto"/>
              </w:rPr>
            </w:pPr>
            <w:r>
              <w:rPr>
                <w:rFonts w:ascii="Times New Roman" w:cs="Times New Roman" w:eastAsia="Times New Roman" w:hAnsi="Times New Roman"/>
                <w:sz w:val="15"/>
                <w:szCs w:val="15"/>
                <w:color w:val="auto"/>
              </w:rPr>
              <w:t>Deferred revenues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(1,314)</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1,604</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460"/>
              <w:spacing w:after="0" w:line="162" w:lineRule="exact"/>
              <w:rPr>
                <w:sz w:val="20"/>
                <w:szCs w:val="20"/>
                <w:color w:val="auto"/>
              </w:rPr>
            </w:pPr>
            <w:r>
              <w:rPr>
                <w:rFonts w:ascii="Times New Roman" w:cs="Times New Roman" w:eastAsia="Times New Roman" w:hAnsi="Times New Roman"/>
                <w:sz w:val="15"/>
                <w:szCs w:val="15"/>
                <w:color w:val="auto"/>
              </w:rPr>
              <w:t>Other liabilities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245</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86</w:t>
            </w:r>
          </w:p>
        </w:tc>
        <w:tc>
          <w:tcPr>
            <w:tcW w:w="100" w:type="dxa"/>
            <w:vAlign w:val="bottom"/>
          </w:tcPr>
          <w:p>
            <w:pPr>
              <w:spacing w:after="0"/>
              <w:rPr>
                <w:sz w:val="14"/>
                <w:szCs w:val="14"/>
                <w:color w:val="auto"/>
              </w:rPr>
            </w:pPr>
          </w:p>
        </w:tc>
      </w:tr>
      <w:tr>
        <w:trPr>
          <w:trHeight w:val="156"/>
        </w:trPr>
        <w:tc>
          <w:tcPr>
            <w:tcW w:w="8300" w:type="dxa"/>
            <w:vAlign w:val="bottom"/>
            <w:tcBorders>
              <w:bottom w:val="single" w:sz="8" w:color="CFF0FC"/>
            </w:tcBorders>
            <w:shd w:val="clear" w:color="auto" w:fill="CFF0FC"/>
          </w:tcPr>
          <w:p>
            <w:pPr>
              <w:ind w:left="620"/>
              <w:spacing w:after="0" w:line="156" w:lineRule="exact"/>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57,461</w:t>
            </w:r>
          </w:p>
        </w:tc>
        <w:tc>
          <w:tcPr>
            <w:tcW w:w="260" w:type="dxa"/>
            <w:vAlign w:val="bottom"/>
            <w:tcBorders>
              <w:bottom w:val="single" w:sz="8" w:color="CFF0FC"/>
            </w:tcBorders>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58,492</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83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Purchases of software, equipment, and property</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(15,876)</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(14,846)</w:t>
            </w: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Acquisition of EvolutionIQ, Inc., net of cash acquired</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(415,133)</w:t>
            </w:r>
          </w:p>
        </w:tc>
      </w:tr>
      <w:tr>
        <w:trPr>
          <w:trHeight w:val="20"/>
        </w:trPr>
        <w:tc>
          <w:tcPr>
            <w:tcW w:w="8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300" w:type="dxa"/>
            <w:vAlign w:val="bottom"/>
            <w:shd w:val="clear" w:color="auto" w:fill="CFF0FC"/>
          </w:tcPr>
          <w:p>
            <w:pPr>
              <w:ind w:left="62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(15,876)</w:t>
            </w:r>
          </w:p>
        </w:tc>
        <w:tc>
          <w:tcPr>
            <w:tcW w:w="2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(429,979)</w:t>
            </w:r>
          </w:p>
        </w:tc>
      </w:tr>
      <w:tr>
        <w:trPr>
          <w:trHeight w:val="155"/>
        </w:trPr>
        <w:tc>
          <w:tcPr>
            <w:tcW w:w="830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exercise of stock options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3,487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1,004</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employee stock purchase plan</w:t>
            </w:r>
          </w:p>
        </w:tc>
        <w:tc>
          <w:tcPr>
            <w:tcW w:w="280" w:type="dxa"/>
            <w:vAlign w:val="bottom"/>
          </w:tcPr>
          <w:p>
            <w:pPr>
              <w:spacing w:after="0"/>
              <w:rPr>
                <w:sz w:val="14"/>
                <w:szCs w:val="14"/>
                <w:color w:val="auto"/>
              </w:rPr>
            </w:pPr>
          </w:p>
        </w:tc>
        <w:tc>
          <w:tcPr>
            <w:tcW w:w="10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1,284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1,650</w:t>
            </w:r>
          </w:p>
        </w:tc>
        <w:tc>
          <w:tcPr>
            <w:tcW w:w="100" w:type="dxa"/>
            <w:vAlign w:val="bottom"/>
          </w:tcPr>
          <w:p>
            <w:pPr>
              <w:spacing w:after="0"/>
              <w:rPr>
                <w:sz w:val="14"/>
                <w:szCs w:val="14"/>
                <w:color w:val="auto"/>
              </w:rPr>
            </w:pP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Payments for employee taxes withheld upon vesting of equity awards</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(17,272)</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(43,471)</w:t>
            </w: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Repurchase of common stock</w:t>
            </w:r>
          </w:p>
        </w:tc>
        <w:tc>
          <w:tcPr>
            <w:tcW w:w="280" w:type="dxa"/>
            <w:vAlign w:val="bottom"/>
          </w:tcPr>
          <w:p>
            <w:pPr>
              <w:spacing w:after="0"/>
              <w:rPr>
                <w:sz w:val="14"/>
                <w:szCs w:val="14"/>
                <w:color w:val="auto"/>
              </w:rPr>
            </w:pPr>
          </w:p>
        </w:tc>
        <w:tc>
          <w:tcPr>
            <w:tcW w:w="12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(100,166)</w:t>
            </w: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(72,275)</w:t>
            </w: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issuance of long-term debt</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225,000</w:t>
            </w: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Payments of fees associated with the debt modification</w:t>
            </w:r>
          </w:p>
        </w:tc>
        <w:tc>
          <w:tcPr>
            <w:tcW w:w="280" w:type="dxa"/>
            <w:vAlign w:val="bottom"/>
          </w:tcPr>
          <w:p>
            <w:pPr>
              <w:spacing w:after="0"/>
              <w:rPr>
                <w:sz w:val="14"/>
                <w:szCs w:val="14"/>
                <w:color w:val="auto"/>
              </w:rPr>
            </w:pPr>
          </w:p>
        </w:tc>
        <w:tc>
          <w:tcPr>
            <w:tcW w:w="126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4"/>
                <w:szCs w:val="14"/>
                <w:color w:val="auto"/>
              </w:rPr>
            </w:pPr>
          </w:p>
        </w:tc>
        <w:tc>
          <w:tcPr>
            <w:tcW w:w="11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(6,565)</w:t>
            </w:r>
          </w:p>
        </w:tc>
      </w:tr>
      <w:tr>
        <w:trPr>
          <w:trHeight w:val="162"/>
        </w:trPr>
        <w:tc>
          <w:tcPr>
            <w:tcW w:w="830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Principal payments on long-term debt</w:t>
            </w:r>
          </w:p>
        </w:tc>
        <w:tc>
          <w:tcPr>
            <w:tcW w:w="28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(3,258)</w:t>
            </w:r>
          </w:p>
        </w:tc>
        <w:tc>
          <w:tcPr>
            <w:tcW w:w="28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(2,503)</w:t>
            </w:r>
          </w:p>
        </w:tc>
      </w:tr>
      <w:tr>
        <w:trPr>
          <w:trHeight w:val="20"/>
        </w:trPr>
        <w:tc>
          <w:tcPr>
            <w:tcW w:w="8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8300" w:type="dxa"/>
            <w:vAlign w:val="bottom"/>
          </w:tcPr>
          <w:p>
            <w:pPr>
              <w:ind w:left="620"/>
              <w:spacing w:after="0" w:line="156" w:lineRule="exact"/>
              <w:rPr>
                <w:sz w:val="20"/>
                <w:szCs w:val="20"/>
                <w:color w:val="auto"/>
              </w:rPr>
            </w:pPr>
            <w:r>
              <w:rPr>
                <w:rFonts w:ascii="Times New Roman" w:cs="Times New Roman" w:eastAsia="Times New Roman" w:hAnsi="Times New Roman"/>
                <w:sz w:val="15"/>
                <w:szCs w:val="15"/>
                <w:color w:val="auto"/>
              </w:rPr>
              <w:t>Net cash (used in) provided by financing activities</w:t>
            </w:r>
          </w:p>
        </w:tc>
        <w:tc>
          <w:tcPr>
            <w:tcW w:w="280" w:type="dxa"/>
            <w:vAlign w:val="bottom"/>
          </w:tcPr>
          <w:p>
            <w:pPr>
              <w:spacing w:after="0"/>
              <w:rPr>
                <w:sz w:val="13"/>
                <w:szCs w:val="13"/>
                <w:color w:val="auto"/>
              </w:rPr>
            </w:pPr>
          </w:p>
        </w:tc>
        <w:tc>
          <w:tcPr>
            <w:tcW w:w="12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(115,925)</w:t>
            </w:r>
          </w:p>
        </w:tc>
        <w:tc>
          <w:tcPr>
            <w:tcW w:w="28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102,840</w:t>
            </w:r>
          </w:p>
        </w:tc>
        <w:tc>
          <w:tcPr>
            <w:tcW w:w="100" w:type="dxa"/>
            <w:vAlign w:val="bottom"/>
          </w:tcPr>
          <w:p>
            <w:pPr>
              <w:spacing w:after="0"/>
              <w:rPr>
                <w:sz w:val="13"/>
                <w:szCs w:val="13"/>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5"/>
        </w:trPr>
        <w:tc>
          <w:tcPr>
            <w:tcW w:w="83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NET EFFECT OF EXCHANGE RATE CHANGES ON CASH AND CASH EQUIVALENTS</w:t>
            </w:r>
          </w:p>
        </w:tc>
        <w:tc>
          <w:tcPr>
            <w:tcW w:w="28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48</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(13)</w:t>
            </w:r>
          </w:p>
        </w:tc>
      </w:tr>
      <w:tr>
        <w:trPr>
          <w:trHeight w:val="20"/>
        </w:trPr>
        <w:tc>
          <w:tcPr>
            <w:tcW w:w="8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83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NET CHANGE IN CASH AND CASH EQUIVALENTS</w:t>
            </w:r>
          </w:p>
        </w:tc>
        <w:tc>
          <w:tcPr>
            <w:tcW w:w="280" w:type="dxa"/>
            <w:vAlign w:val="bottom"/>
          </w:tcPr>
          <w:p>
            <w:pPr>
              <w:spacing w:after="0"/>
              <w:rPr>
                <w:sz w:val="13"/>
                <w:szCs w:val="13"/>
                <w:color w:val="auto"/>
              </w:rPr>
            </w:pPr>
          </w:p>
        </w:tc>
        <w:tc>
          <w:tcPr>
            <w:tcW w:w="1260" w:type="dxa"/>
            <w:vAlign w:val="bottom"/>
            <w:gridSpan w:val="2"/>
          </w:tcPr>
          <w:p>
            <w:pPr>
              <w:jc w:val="right"/>
              <w:ind w:right="200"/>
              <w:spacing w:after="0" w:line="156" w:lineRule="exact"/>
              <w:rPr>
                <w:sz w:val="20"/>
                <w:szCs w:val="20"/>
                <w:color w:val="auto"/>
              </w:rPr>
            </w:pPr>
            <w:r>
              <w:rPr>
                <w:rFonts w:ascii="Times New Roman" w:cs="Times New Roman" w:eastAsia="Times New Roman" w:hAnsi="Times New Roman"/>
                <w:sz w:val="15"/>
                <w:szCs w:val="15"/>
                <w:color w:val="auto"/>
              </w:rPr>
              <w:t>(74,292)</w:t>
            </w:r>
          </w:p>
        </w:tc>
        <w:tc>
          <w:tcPr>
            <w:tcW w:w="280" w:type="dxa"/>
            <w:vAlign w:val="bottom"/>
          </w:tcPr>
          <w:p>
            <w:pPr>
              <w:spacing w:after="0"/>
              <w:rPr>
                <w:sz w:val="13"/>
                <w:szCs w:val="13"/>
                <w:color w:val="auto"/>
              </w:rPr>
            </w:pPr>
          </w:p>
        </w:tc>
        <w:tc>
          <w:tcPr>
            <w:tcW w:w="112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(268,660)</w:t>
            </w:r>
          </w:p>
        </w:tc>
      </w:tr>
      <w:tr>
        <w:trPr>
          <w:trHeight w:val="162"/>
        </w:trPr>
        <w:tc>
          <w:tcPr>
            <w:tcW w:w="830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830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Beginning of period</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111,192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398,983</w:t>
            </w:r>
          </w:p>
        </w:tc>
        <w:tc>
          <w:tcPr>
            <w:tcW w:w="100" w:type="dxa"/>
            <w:vAlign w:val="bottom"/>
          </w:tcPr>
          <w:p>
            <w:pPr>
              <w:spacing w:after="0"/>
              <w:rPr>
                <w:sz w:val="14"/>
                <w:szCs w:val="14"/>
                <w:color w:val="auto"/>
              </w:rPr>
            </w:pPr>
          </w:p>
        </w:tc>
      </w:tr>
      <w:tr>
        <w:trPr>
          <w:trHeight w:val="196"/>
        </w:trPr>
        <w:tc>
          <w:tcPr>
            <w:tcW w:w="8300" w:type="dxa"/>
            <w:vAlign w:val="bottom"/>
            <w:tcBorders>
              <w:bottom w:val="single" w:sz="8" w:color="CFF0FC"/>
            </w:tcBorders>
            <w:shd w:val="clear" w:color="auto" w:fill="CFF0FC"/>
          </w:tcPr>
          <w:p>
            <w:pPr>
              <w:ind w:left="160"/>
              <w:spacing w:after="0" w:line="156" w:lineRule="exact"/>
              <w:rPr>
                <w:sz w:val="20"/>
                <w:szCs w:val="20"/>
                <w:color w:val="auto"/>
              </w:rPr>
            </w:pPr>
            <w:r>
              <w:rPr>
                <w:rFonts w:ascii="Times New Roman" w:cs="Times New Roman" w:eastAsia="Times New Roman" w:hAnsi="Times New Roman"/>
                <w:sz w:val="15"/>
                <w:szCs w:val="15"/>
                <w:color w:val="auto"/>
              </w:rPr>
              <w:t>End of period</w:t>
            </w:r>
          </w:p>
        </w:tc>
        <w:tc>
          <w:tcPr>
            <w:tcW w:w="28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36,900</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130,323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300" w:type="dxa"/>
            <w:vAlign w:val="bottom"/>
          </w:tcPr>
          <w:p>
            <w:pPr>
              <w:spacing w:after="0" w:line="143" w:lineRule="exact"/>
              <w:rPr>
                <w:sz w:val="20"/>
                <w:szCs w:val="20"/>
                <w:color w:val="auto"/>
              </w:rPr>
            </w:pPr>
            <w:r>
              <w:rPr>
                <w:rFonts w:ascii="Times New Roman" w:cs="Times New Roman" w:eastAsia="Times New Roman" w:hAnsi="Times New Roman"/>
                <w:sz w:val="15"/>
                <w:szCs w:val="15"/>
                <w:color w:val="auto"/>
              </w:rPr>
              <w:t>NONCASH INVESTING AND FINANCING ACTIVITIES:</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2"/>
        </w:trPr>
        <w:tc>
          <w:tcPr>
            <w:tcW w:w="8300" w:type="dxa"/>
            <w:vAlign w:val="bottom"/>
            <w:tcBorders>
              <w:bottom w:val="single" w:sz="8" w:color="CFF0FC"/>
            </w:tcBorders>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Noncash purchases of software, equipment, and property</w:t>
            </w:r>
          </w:p>
        </w:tc>
        <w:tc>
          <w:tcPr>
            <w:tcW w:w="280" w:type="dxa"/>
            <w:vAlign w:val="bottom"/>
            <w:tcBorders>
              <w:bottom w:val="single" w:sz="8" w:color="auto"/>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896</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300" w:type="dxa"/>
            <w:vAlign w:val="bottom"/>
          </w:tcPr>
          <w:p>
            <w:pPr>
              <w:ind w:left="160"/>
              <w:spacing w:after="0" w:line="143" w:lineRule="exact"/>
              <w:rPr>
                <w:sz w:val="20"/>
                <w:szCs w:val="20"/>
                <w:color w:val="auto"/>
              </w:rPr>
            </w:pPr>
            <w:r>
              <w:rPr>
                <w:rFonts w:ascii="Times New Roman" w:cs="Times New Roman" w:eastAsia="Times New Roman" w:hAnsi="Times New Roman"/>
                <w:sz w:val="15"/>
                <w:szCs w:val="15"/>
                <w:color w:val="auto"/>
              </w:rPr>
              <w:t>Stock issued related the acquisition of EvolutionIQ, Inc.</w:t>
            </w:r>
          </w:p>
        </w:tc>
        <w:tc>
          <w:tcPr>
            <w:tcW w:w="280" w:type="dxa"/>
            <w:vAlign w:val="bottom"/>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250,441</w:t>
            </w:r>
          </w:p>
        </w:tc>
        <w:tc>
          <w:tcPr>
            <w:tcW w:w="100" w:type="dxa"/>
            <w:vAlign w:val="bottom"/>
          </w:tcPr>
          <w:p>
            <w:pPr>
              <w:spacing w:after="0"/>
              <w:rPr>
                <w:sz w:val="12"/>
                <w:szCs w:val="12"/>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300" w:type="dxa"/>
            <w:vAlign w:val="bottom"/>
            <w:shd w:val="clear" w:color="auto" w:fill="CFF0FC"/>
          </w:tcPr>
          <w:p>
            <w:pPr>
              <w:ind w:left="160"/>
              <w:spacing w:after="0" w:line="143" w:lineRule="exact"/>
              <w:rPr>
                <w:sz w:val="20"/>
                <w:szCs w:val="20"/>
                <w:color w:val="auto"/>
              </w:rPr>
            </w:pPr>
            <w:r>
              <w:rPr>
                <w:rFonts w:ascii="Times New Roman" w:cs="Times New Roman" w:eastAsia="Times New Roman" w:hAnsi="Times New Roman"/>
                <w:sz w:val="15"/>
                <w:szCs w:val="15"/>
                <w:color w:val="auto"/>
              </w:rPr>
              <w:t>Issuance of promissory note to minority investor of redeemable preferred securities</w:t>
            </w:r>
          </w:p>
        </w:tc>
        <w:tc>
          <w:tcPr>
            <w:tcW w:w="280" w:type="dxa"/>
            <w:vAlign w:val="bottom"/>
            <w:shd w:val="clear" w:color="auto" w:fill="CFF0FC"/>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FF0FC"/>
          </w:tcPr>
          <w:p>
            <w:pPr>
              <w:jc w:val="right"/>
              <w:ind w:right="280"/>
              <w:spacing w:after="0" w:line="143" w:lineRule="exact"/>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FF0FC"/>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FF0FC"/>
          </w:tcPr>
          <w:p>
            <w:pPr>
              <w:jc w:val="right"/>
              <w:spacing w:after="0" w:line="143" w:lineRule="exact"/>
              <w:rPr>
                <w:sz w:val="20"/>
                <w:szCs w:val="20"/>
                <w:color w:val="auto"/>
              </w:rPr>
            </w:pPr>
            <w:r>
              <w:rPr>
                <w:rFonts w:ascii="Times New Roman" w:cs="Times New Roman" w:eastAsia="Times New Roman" w:hAnsi="Times New Roman"/>
                <w:sz w:val="15"/>
                <w:szCs w:val="15"/>
                <w:color w:val="auto"/>
              </w:rPr>
              <w:t>22,955</w:t>
            </w:r>
          </w:p>
        </w:tc>
        <w:tc>
          <w:tcPr>
            <w:tcW w:w="100" w:type="dxa"/>
            <w:vAlign w:val="bottom"/>
            <w:shd w:val="clear" w:color="auto" w:fill="CFF0FC"/>
          </w:tcPr>
          <w:p>
            <w:pPr>
              <w:spacing w:after="0"/>
              <w:rPr>
                <w:sz w:val="15"/>
                <w:szCs w:val="15"/>
                <w:color w:val="auto"/>
              </w:rPr>
            </w:pPr>
          </w:p>
        </w:tc>
      </w:tr>
      <w:tr>
        <w:trPr>
          <w:trHeight w:val="143"/>
        </w:trPr>
        <w:tc>
          <w:tcPr>
            <w:tcW w:w="8300" w:type="dxa"/>
            <w:vAlign w:val="bottom"/>
            <w:tcBorders>
              <w:top w:val="single" w:sz="8" w:color="CFF0FC"/>
            </w:tcBorders>
          </w:tcPr>
          <w:p>
            <w:pPr>
              <w:spacing w:after="0" w:line="143" w:lineRule="exact"/>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02"/>
        </w:trPr>
        <w:tc>
          <w:tcPr>
            <w:tcW w:w="8300" w:type="dxa"/>
            <w:vAlign w:val="bottom"/>
            <w:tcBorders>
              <w:bottom w:val="single" w:sz="8" w:color="CFF0FC"/>
            </w:tcBorders>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Cash paid for interest</w:t>
            </w:r>
          </w:p>
        </w:tc>
        <w:tc>
          <w:tcPr>
            <w:tcW w:w="280" w:type="dxa"/>
            <w:vAlign w:val="bottom"/>
            <w:tcBorders>
              <w:bottom w:val="single" w:sz="8" w:color="auto"/>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19,008</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auto"/>
            </w:tcBorders>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16,358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8300" w:type="dxa"/>
            <w:vAlign w:val="bottom"/>
          </w:tcPr>
          <w:p>
            <w:pPr>
              <w:ind w:left="160"/>
              <w:spacing w:after="0" w:line="143" w:lineRule="exact"/>
              <w:rPr>
                <w:sz w:val="20"/>
                <w:szCs w:val="20"/>
                <w:color w:val="auto"/>
              </w:rPr>
            </w:pPr>
            <w:r>
              <w:rPr>
                <w:rFonts w:ascii="Times New Roman" w:cs="Times New Roman" w:eastAsia="Times New Roman" w:hAnsi="Times New Roman"/>
                <w:sz w:val="15"/>
                <w:szCs w:val="15"/>
                <w:color w:val="auto"/>
              </w:rPr>
              <w:t>Cash (received) paid for income taxes—Net</w:t>
            </w:r>
          </w:p>
        </w:tc>
        <w:tc>
          <w:tcPr>
            <w:tcW w:w="280" w:type="dxa"/>
            <w:vAlign w:val="bottom"/>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200"/>
              <w:spacing w:after="0" w:line="143" w:lineRule="exact"/>
              <w:rPr>
                <w:sz w:val="20"/>
                <w:szCs w:val="20"/>
                <w:color w:val="auto"/>
              </w:rPr>
            </w:pPr>
            <w:r>
              <w:rPr>
                <w:rFonts w:ascii="Times New Roman" w:cs="Times New Roman" w:eastAsia="Times New Roman" w:hAnsi="Times New Roman"/>
                <w:sz w:val="15"/>
                <w:szCs w:val="15"/>
                <w:color w:val="auto"/>
              </w:rPr>
              <w:t>(2,109)</w:t>
            </w:r>
          </w:p>
        </w:tc>
        <w:tc>
          <w:tcPr>
            <w:tcW w:w="280" w:type="dxa"/>
            <w:vAlign w:val="bottom"/>
          </w:tcPr>
          <w:p>
            <w:pPr>
              <w:jc w:val="right"/>
              <w:ind w:right="124"/>
              <w:spacing w:after="0" w:line="143" w:lineRule="exact"/>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line="143" w:lineRule="exact"/>
              <w:rPr>
                <w:sz w:val="20"/>
                <w:szCs w:val="20"/>
                <w:color w:val="auto"/>
              </w:rPr>
            </w:pPr>
            <w:r>
              <w:rPr>
                <w:rFonts w:ascii="Times New Roman" w:cs="Times New Roman" w:eastAsia="Times New Roman" w:hAnsi="Times New Roman"/>
                <w:sz w:val="15"/>
                <w:szCs w:val="15"/>
                <w:color w:val="auto"/>
              </w:rPr>
              <w:t>445</w:t>
            </w:r>
          </w:p>
        </w:tc>
        <w:tc>
          <w:tcPr>
            <w:tcW w:w="100" w:type="dxa"/>
            <w:vAlign w:val="bottom"/>
          </w:tcPr>
          <w:p>
            <w:pPr>
              <w:spacing w:after="0"/>
              <w:rPr>
                <w:sz w:val="12"/>
                <w:szCs w:val="12"/>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-2785110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-2356485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-1525270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-1302385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-873760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-856615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-642620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-624840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-385445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-367665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-153670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-136525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left="360" w:right="2620"/>
        <w:spacing w:after="0" w:line="268" w:lineRule="auto"/>
        <w:rPr>
          <w:sz w:val="20"/>
          <w:szCs w:val="20"/>
          <w:color w:val="auto"/>
        </w:rPr>
      </w:pPr>
      <w:r>
        <w:rPr>
          <w:rFonts w:ascii="Times New Roman" w:cs="Times New Roman" w:eastAsia="Times New Roman" w:hAnsi="Times New Roman"/>
          <w:sz w:val="18"/>
          <w:szCs w:val="18"/>
          <w:b w:val="1"/>
          <w:bCs w:val="1"/>
          <w:color w:val="auto"/>
        </w:rPr>
        <w:t>CCC INTELLIGENT SOLUTIONS HOLDINGS INC. NOTES TO CONDENSED CONSOLIDATED FINANCIAL STATEMENTS (Unaudited)</w:t>
      </w:r>
    </w:p>
    <w:p>
      <w:pPr>
        <w:spacing w:after="0" w:line="171" w:lineRule="exact"/>
        <w:rPr>
          <w:sz w:val="20"/>
          <w:szCs w:val="20"/>
          <w:color w:val="auto"/>
        </w:rPr>
      </w:pPr>
    </w:p>
    <w:p>
      <w:pPr>
        <w:ind w:left="512" w:hanging="512"/>
        <w:spacing w:after="0"/>
        <w:tabs>
          <w:tab w:leader="none" w:pos="51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left="512" w:right="220" w:hanging="3"/>
        <w:spacing w:after="0" w:line="289" w:lineRule="auto"/>
        <w:tabs>
          <w:tab w:leader="none" w:pos="91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Intelligent Solutions Holdings Inc. (the “Company”), a Delaware corporation, is a leading software as a service (“SaaS”) and artificial intelligence (“AI”) platform provider for the multi-trillion-dollar insurance economy powering operations for insurers, repairers, automakers, part suppliers, and more. CCC’s cloud technology connects businesses digitizing mission-critical workflows, commerce and customer experiences.</w:t>
      </w:r>
    </w:p>
    <w:p>
      <w:pPr>
        <w:spacing w:after="0" w:line="50" w:lineRule="exact"/>
        <w:rPr>
          <w:sz w:val="20"/>
          <w:szCs w:val="20"/>
          <w:color w:val="auto"/>
        </w:rPr>
      </w:pPr>
    </w:p>
    <w:p>
      <w:pPr>
        <w:ind w:left="512" w:right="560"/>
        <w:spacing w:after="0" w:line="282" w:lineRule="auto"/>
        <w:rPr>
          <w:sz w:val="20"/>
          <w:szCs w:val="20"/>
          <w:color w:val="auto"/>
        </w:rPr>
      </w:pPr>
      <w:r>
        <w:rPr>
          <w:rFonts w:ascii="Times New Roman" w:cs="Times New Roman" w:eastAsia="Times New Roman" w:hAnsi="Times New Roman"/>
          <w:sz w:val="18"/>
          <w:szCs w:val="18"/>
          <w:color w:val="auto"/>
        </w:rPr>
        <w:t>The Company’s cloud-based SaaS platform connects trading partners, facilitates commerce, and supports mission-critical, AI enabled digital workflows.</w:t>
      </w:r>
    </w:p>
    <w:p>
      <w:pPr>
        <w:spacing w:after="0" w:line="54" w:lineRule="exact"/>
        <w:rPr>
          <w:sz w:val="20"/>
          <w:szCs w:val="20"/>
          <w:color w:val="auto"/>
        </w:rPr>
      </w:pPr>
    </w:p>
    <w:p>
      <w:pPr>
        <w:ind w:left="512" w:right="140"/>
        <w:spacing w:after="0" w:line="282" w:lineRule="auto"/>
        <w:rPr>
          <w:sz w:val="20"/>
          <w:szCs w:val="20"/>
          <w:color w:val="auto"/>
        </w:rPr>
      </w:pPr>
      <w:r>
        <w:rPr>
          <w:rFonts w:ascii="Times New Roman" w:cs="Times New Roman" w:eastAsia="Times New Roman" w:hAnsi="Times New Roman"/>
          <w:sz w:val="18"/>
          <w:szCs w:val="18"/>
          <w:color w:val="auto"/>
        </w:rPr>
        <w:t>The Company is headquartered in Chicago, Illinois. The Company’s primary operations are in the United States (“U.S.”) and it also has operations in China.</w:t>
      </w:r>
    </w:p>
    <w:p>
      <w:pPr>
        <w:spacing w:after="0" w:line="158" w:lineRule="exact"/>
        <w:rPr>
          <w:sz w:val="20"/>
          <w:szCs w:val="20"/>
          <w:color w:val="auto"/>
        </w:rPr>
      </w:pPr>
    </w:p>
    <w:p>
      <w:pPr>
        <w:ind w:left="512" w:hanging="512"/>
        <w:spacing w:after="0"/>
        <w:tabs>
          <w:tab w:leader="none" w:pos="512"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12" w:right="1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—The condensed consolidated balance sheets as of March 31, 2026 and December 31, 2025, the condensed consolidated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operations and comprehensive income (loss) for the three months ended March 31, 2026 and 2025, the condensed consolidated statements of mezzanine equity and stockholders’ equity for the three months ended March 31, 2026 and 2025, and the condensed consolidated statements of cash flows for the three months ended March 31, 2026 and 2025 have been prepared by the Company and have not been audited. In the opinion of management, all adjustments (which include only normal recurring adjustments except where disclosed) necessary for the fair presentation of the financial position, results of operations and cash flows have been made. The results of operations for any interim period are not necessarily indicative of the results to be expected for the full year or any future period.</w:t>
      </w:r>
    </w:p>
    <w:p>
      <w:pPr>
        <w:spacing w:after="0" w:line="78" w:lineRule="exact"/>
        <w:rPr>
          <w:rFonts w:ascii="Times New Roman" w:cs="Times New Roman" w:eastAsia="Times New Roman" w:hAnsi="Times New Roman"/>
          <w:sz w:val="18"/>
          <w:szCs w:val="18"/>
          <w:b w:val="1"/>
          <w:bCs w:val="1"/>
          <w:color w:val="auto"/>
        </w:rPr>
      </w:pPr>
    </w:p>
    <w:p>
      <w:pPr>
        <w:ind w:left="512" w:right="2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(“GAAP”) for interim financial information and in accordance with the instructions to Form 10-Q and Regulation S-X of the Securities and Exchange Commission (“SEC”). The preparation of the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Actual results could differ from those estimates.</w:t>
      </w:r>
    </w:p>
    <w:p>
      <w:pPr>
        <w:spacing w:after="0" w:line="79" w:lineRule="exact"/>
        <w:rPr>
          <w:rFonts w:ascii="Times New Roman" w:cs="Times New Roman" w:eastAsia="Times New Roman" w:hAnsi="Times New Roman"/>
          <w:sz w:val="18"/>
          <w:szCs w:val="18"/>
          <w:b w:val="1"/>
          <w:bCs w:val="1"/>
          <w:color w:val="auto"/>
        </w:rPr>
      </w:pPr>
    </w:p>
    <w:p>
      <w:pPr>
        <w:ind w:left="512" w:right="20"/>
        <w:spacing w:after="0" w:line="27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Certain information and footnote disclosures normally included in consolidated financial statements prepared in accordance with GAAP have been condensed or omitted, pursuant to the rules and regulations of the SEC for interim financial reporting. Accordingly, the condensed consolidated financial statements may not include all the information and footnotes necessary for a complete presentation of the Company’s financial position, results of operations or cash flows. These condensed consolidated financial statements should be read in conjunction with the Company's audited consolidated financial statements and notes thereto included in the Company’s Annual Report on Form 10-K for the year ended December 31, 2025.</w:t>
      </w:r>
    </w:p>
    <w:p>
      <w:pPr>
        <w:spacing w:after="0" w:line="59" w:lineRule="exact"/>
        <w:rPr>
          <w:rFonts w:ascii="Times New Roman" w:cs="Times New Roman" w:eastAsia="Times New Roman" w:hAnsi="Times New Roman"/>
          <w:sz w:val="18"/>
          <w:szCs w:val="18"/>
          <w:b w:val="1"/>
          <w:bCs w:val="1"/>
          <w:color w:val="auto"/>
        </w:rPr>
      </w:pPr>
    </w:p>
    <w:p>
      <w:pPr>
        <w:ind w:left="512"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significant accounting policies are described in Note 2, Summary of Significant Accounting Policies, to the consolidated financial statements included in the Company’s Annual Report on Form 10-K for the year ended December 31, 2025. There have been no material changes to the significant accounting policies since December 31, 2025.</w:t>
      </w:r>
    </w:p>
    <w:p>
      <w:pPr>
        <w:spacing w:after="0" w:line="63" w:lineRule="exact"/>
        <w:rPr>
          <w:rFonts w:ascii="Times New Roman" w:cs="Times New Roman" w:eastAsia="Times New Roman" w:hAnsi="Times New Roman"/>
          <w:sz w:val="18"/>
          <w:szCs w:val="18"/>
          <w:b w:val="1"/>
          <w:bCs w:val="1"/>
          <w:color w:val="auto"/>
        </w:rPr>
      </w:pPr>
    </w:p>
    <w:p>
      <w:pPr>
        <w:ind w:left="512" w:right="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Accounting</w:t>
      </w:r>
      <w:r>
        <w:rPr>
          <w:rFonts w:ascii="Times New Roman" w:cs="Times New Roman" w:eastAsia="Times New Roman" w:hAnsi="Times New Roman"/>
          <w:sz w:val="18"/>
          <w:szCs w:val="18"/>
          <w:color w:val="auto"/>
        </w:rPr>
        <w:t>—The accompanying condensed consolidated financial statements are prepared in accordance with GAAP and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of the Company and its wholly-owned and majority-owned subsidiaries. All intercompany balances and transactions have been eliminated in consolidation. The condensed consolidated financial statements include 100% of the accounts of wholly-owned and majority-owned subsidiaries. The ownership interest of the minority investor as of December 31, 2024 is recorded as a non-controlling interest in CCCIS Cayman Holdings Limited (“CCC Cayman”), the parent of the Company’s China operations.</w:t>
      </w:r>
    </w:p>
    <w:p>
      <w:pPr>
        <w:spacing w:after="0" w:line="71" w:lineRule="exact"/>
        <w:rPr>
          <w:rFonts w:ascii="Times New Roman" w:cs="Times New Roman" w:eastAsia="Times New Roman" w:hAnsi="Times New Roman"/>
          <w:sz w:val="18"/>
          <w:szCs w:val="18"/>
          <w:b w:val="1"/>
          <w:bCs w:val="1"/>
          <w:color w:val="auto"/>
        </w:rPr>
      </w:pPr>
    </w:p>
    <w:p>
      <w:pPr>
        <w:ind w:left="512"/>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—The preparation of the condensed consolidated financial statements requires management to make estimates and assumptions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affect the reported amounts, and the disclosures of contingent amounts, in the Company’s condensed consolidated financial statements and the accompanying notes. The Company bases its estimates on historical experience and various other assumptions that it believes to be reasonable under the circumstances. Although the Company regularly assesses its estimates, actual results could differ from management’s estimates if past experience or other assumptions are not substantially accurate. Changes in estimates are recorded in the period in which they become known. Significant estimates in these condensed consolidated financial statements include the estimation of contract transaction prices, the determination of the amortization period for contract assets, the valuation of goodwill and intangible assets, and the estimates and assumptions associated with stock incentive plans.</w:t>
      </w:r>
    </w:p>
    <w:p>
      <w:pPr>
        <w:spacing w:after="0" w:line="1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1" w:right="359" w:bottom="1440" w:gutter="0" w:footer="0" w:header="0"/>
        </w:sectPr>
      </w:pPr>
    </w:p>
    <w:bookmarkStart w:id="10" w:name="page11"/>
    <w:bookmarkEnd w:id="10"/>
    <w:p>
      <w:pPr>
        <w:ind w:left="512"/>
        <w:spacing w:after="0" w:line="256" w:lineRule="auto"/>
        <w:rPr>
          <w:sz w:val="20"/>
          <w:szCs w:val="20"/>
          <w:color w:val="auto"/>
        </w:rPr>
      </w:pPr>
      <w:r>
        <w:rPr>
          <w:rFonts w:ascii="Times New Roman" w:cs="Times New Roman" w:eastAsia="Times New Roman" w:hAnsi="Times New Roman"/>
          <w:sz w:val="18"/>
          <w:szCs w:val="18"/>
          <w:b w:val="1"/>
          <w:bCs w:val="1"/>
          <w:color w:val="auto"/>
        </w:rPr>
        <w:t>Recently Issued Accounting Pronouncements</w:t>
      </w:r>
      <w:r>
        <w:rPr>
          <w:rFonts w:ascii="Times New Roman" w:cs="Times New Roman" w:eastAsia="Times New Roman" w:hAnsi="Times New Roman"/>
          <w:sz w:val="18"/>
          <w:szCs w:val="18"/>
          <w:color w:val="auto"/>
        </w:rPr>
        <w:t>—In September 2025, the Financial Accounting Standards Board (“FASB”) issued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Standards Update 2025-06, </w:t>
      </w:r>
      <w:r>
        <w:rPr>
          <w:rFonts w:ascii="Times New Roman" w:cs="Times New Roman" w:eastAsia="Times New Roman" w:hAnsi="Times New Roman"/>
          <w:sz w:val="18"/>
          <w:szCs w:val="18"/>
          <w:i w:val="1"/>
          <w:iCs w:val="1"/>
          <w:color w:val="auto"/>
        </w:rPr>
        <w:t>Intangibles-Goodwill and Other - Internal-Use Software (Subtopic 350-40): Targeted Improvements to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Internal-Use Software. </w:t>
      </w:r>
      <w:r>
        <w:rPr>
          <w:rFonts w:ascii="Times New Roman" w:cs="Times New Roman" w:eastAsia="Times New Roman" w:hAnsi="Times New Roman"/>
          <w:sz w:val="18"/>
          <w:szCs w:val="18"/>
          <w:color w:val="auto"/>
        </w:rPr>
        <w:t>Among other things, this update removes the accounting consideration of software project development stages,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 entity to start capitalizing software costs when management has authorized and committed to funding the software project, and it is probable that the project will be completed and used to perform its intended function. The guidance can be applied on a prospective basis, modified basis, or retrospective basis. The amendments in this update are effective for fiscal years beginning after December 15, 2027, and interim periods in those fiscal years. The Company is evaluating the impact of the adoption of ASU 2025-06 to its consolidated financial statements.</w:t>
      </w:r>
    </w:p>
    <w:p>
      <w:pPr>
        <w:spacing w:after="0" w:line="77" w:lineRule="exact"/>
        <w:rPr>
          <w:sz w:val="20"/>
          <w:szCs w:val="20"/>
          <w:color w:val="auto"/>
        </w:rPr>
      </w:pPr>
    </w:p>
    <w:p>
      <w:pPr>
        <w:ind w:left="512" w:right="10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update requires new disclosures aimed at enhancing transparency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by requiring disaggregation of specific expense captions within the statement of operations. Under the update, entities are required to disclose a breakdown of certain expense categories, such as: employee compensation; depreciation; amortization, and other material components. This ASU is effective for fiscal years beginning after December 15, 2026, with early adoption permitted. The Company is evaluating the disclosure requirements related to this update.</w:t>
      </w:r>
    </w:p>
    <w:p>
      <w:pPr>
        <w:spacing w:after="0" w:line="76" w:lineRule="exact"/>
        <w:rPr>
          <w:sz w:val="20"/>
          <w:szCs w:val="20"/>
          <w:color w:val="auto"/>
        </w:rPr>
      </w:pPr>
    </w:p>
    <w:p>
      <w:pPr>
        <w:ind w:left="512" w:right="640"/>
        <w:spacing w:after="0" w:line="282" w:lineRule="auto"/>
        <w:rPr>
          <w:sz w:val="20"/>
          <w:szCs w:val="20"/>
          <w:color w:val="auto"/>
        </w:rPr>
      </w:pPr>
      <w:r>
        <w:rPr>
          <w:rFonts w:ascii="Times New Roman" w:cs="Times New Roman" w:eastAsia="Times New Roman" w:hAnsi="Times New Roman"/>
          <w:sz w:val="18"/>
          <w:szCs w:val="18"/>
          <w:color w:val="auto"/>
        </w:rPr>
        <w:t>There have been no other recent accounting pronouncements or changes in accounting pronouncements that are of significance or potential significance to us.</w:t>
      </w:r>
    </w:p>
    <w:p>
      <w:pPr>
        <w:spacing w:after="0" w:line="200" w:lineRule="exact"/>
        <w:rPr>
          <w:sz w:val="20"/>
          <w:szCs w:val="20"/>
          <w:color w:val="auto"/>
        </w:rPr>
      </w:pPr>
    </w:p>
    <w:p>
      <w:pPr>
        <w:spacing w:after="0" w:line="201" w:lineRule="exact"/>
        <w:rPr>
          <w:sz w:val="20"/>
          <w:szCs w:val="20"/>
          <w:color w:val="auto"/>
        </w:rPr>
      </w:pPr>
    </w:p>
    <w:p>
      <w:pPr>
        <w:ind w:left="512" w:right="8500" w:hanging="512"/>
        <w:spacing w:after="0" w:line="400" w:lineRule="auto"/>
        <w:tabs>
          <w:tab w:leader="none" w:pos="512"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ACQUISITION </w:t>
      </w:r>
      <w:r>
        <w:rPr>
          <w:rFonts w:ascii="Times New Roman" w:cs="Times New Roman" w:eastAsia="Times New Roman" w:hAnsi="Times New Roman"/>
          <w:sz w:val="17"/>
          <w:szCs w:val="17"/>
          <w:i w:val="1"/>
          <w:iCs w:val="1"/>
          <w:color w:val="auto"/>
        </w:rPr>
        <w:t>EvolutionIQ</w:t>
      </w:r>
    </w:p>
    <w:p>
      <w:pPr>
        <w:jc w:val="both"/>
        <w:ind w:left="512" w:right="4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January 6, 2025, the Company completed its acquisition of EvolutionIQ, Inc. (“EvolutionIQ”), a privately held company that provides AI-powered guidance for disability and injury claims management. Leveraging EvolutionIQ’s platform, the acquisition broadens the Company’s portfolio of AI-based solutions available to insurance customers.</w:t>
      </w:r>
    </w:p>
    <w:p>
      <w:pPr>
        <w:spacing w:after="0" w:line="67" w:lineRule="exact"/>
        <w:rPr>
          <w:rFonts w:ascii="Times New Roman" w:cs="Times New Roman" w:eastAsia="Times New Roman" w:hAnsi="Times New Roman"/>
          <w:sz w:val="17"/>
          <w:szCs w:val="17"/>
          <w:b w:val="1"/>
          <w:bCs w:val="1"/>
          <w:color w:val="auto"/>
        </w:rPr>
      </w:pPr>
    </w:p>
    <w:p>
      <w:pPr>
        <w:ind w:left="512" w:right="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acquired all outstanding shares of EvolutionIQ in exchange for total consideration of $674.3 million. In accordance with the acquisition agreement, the Company placed $8.9 million in escrow for general indemnity and purchase price adjustment holdbacks to be paid to the sellers within 90 days of closing for the adjustment holdbacks and within 36 months of closing for the general indemnity, subject to reduction for certain indemnifications and other potential obligations of the selling shareholders. For the year ended December 31, 2025, the adjustment escrow was distributed with the sellers receiving $2.6 million and the Company receiving $4.7 million. As of March 31, 2026, the remaining escrow balance of $1.6 million relates to the general indemnity.</w:t>
      </w:r>
    </w:p>
    <w:p>
      <w:pPr>
        <w:sectPr>
          <w:pgSz w:w="11900" w:h="16838" w:orient="portrait"/>
          <w:cols w:equalWidth="0" w:num="1">
            <w:col w:w="11152"/>
          </w:cols>
          <w:pgMar w:left="328" w:top="1089" w:right="419" w:bottom="1440" w:gutter="0" w:footer="0" w:header="0"/>
        </w:sectPr>
      </w:pPr>
    </w:p>
    <w:p>
      <w:pPr>
        <w:spacing w:after="0" w:line="7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7"/>
          <w:szCs w:val="17"/>
          <w:color w:val="auto"/>
        </w:rPr>
        <w:t>The acquisition date fair value of the consideration transferred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24765</wp:posOffset>
            </wp:positionV>
            <wp:extent cx="6772275"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2275" cy="137160"/>
                    </a:xfrm>
                    <a:prstGeom prst="rect">
                      <a:avLst/>
                    </a:prstGeom>
                    <a:noFill/>
                  </pic:spPr>
                </pic:pic>
              </a:graphicData>
            </a:graphic>
          </wp:anchor>
        </w:drawing>
      </w:r>
    </w:p>
    <w:p>
      <w:pPr>
        <w:spacing w:after="0" w:line="19"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9"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Fair value of common stock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5715</wp:posOffset>
            </wp:positionV>
            <wp:extent cx="6772275"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2275" cy="146050"/>
                    </a:xfrm>
                    <a:prstGeom prst="rect">
                      <a:avLst/>
                    </a:prstGeom>
                    <a:noFill/>
                  </pic:spPr>
                </pic:pic>
              </a:graphicData>
            </a:graphic>
          </wp:anchor>
        </w:drawing>
      </w:r>
    </w:p>
    <w:p>
      <w:pPr>
        <w:ind w:left="572"/>
        <w:spacing w:after="0"/>
        <w:rPr>
          <w:sz w:val="20"/>
          <w:szCs w:val="20"/>
          <w:color w:val="auto"/>
        </w:rPr>
      </w:pPr>
      <w:r>
        <w:rPr>
          <w:rFonts w:ascii="Times New Roman" w:cs="Times New Roman" w:eastAsia="Times New Roman" w:hAnsi="Times New Roman"/>
          <w:sz w:val="18"/>
          <w:szCs w:val="18"/>
          <w:color w:val="auto"/>
        </w:rPr>
        <w:t>Fair value of option holdback</w:t>
      </w:r>
    </w:p>
    <w:p>
      <w:pPr>
        <w:spacing w:after="0" w:line="45"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Total acquisition date fair value of the consideration transferred</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1190" w:hanging="1190"/>
        <w:spacing w:after="0"/>
        <w:tabs>
          <w:tab w:leader="none" w:pos="119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420,642</w:t>
      </w:r>
    </w:p>
    <w:p>
      <w:pPr>
        <w:spacing w:after="0" w:line="27" w:lineRule="exact"/>
        <w:rPr>
          <w:rFonts w:ascii="Times New Roman" w:cs="Times New Roman" w:eastAsia="Times New Roman" w:hAnsi="Times New Roman"/>
          <w:sz w:val="18"/>
          <w:szCs w:val="18"/>
          <w:color w:val="auto"/>
        </w:rPr>
      </w:pPr>
    </w:p>
    <w:p>
      <w:pPr>
        <w:ind w:left="11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250,441</w:t>
      </w:r>
    </w:p>
    <w:p>
      <w:pPr>
        <w:spacing w:after="0" w:line="9" w:lineRule="exact"/>
        <w:rPr>
          <w:rFonts w:ascii="Times New Roman" w:cs="Times New Roman" w:eastAsia="Times New Roman" w:hAnsi="Times New Roman"/>
          <w:sz w:val="18"/>
          <w:szCs w:val="18"/>
          <w:color w:val="auto"/>
        </w:rPr>
      </w:pPr>
    </w:p>
    <w:p>
      <w:pPr>
        <w:ind w:left="137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3,184</w:t>
      </w:r>
    </w:p>
    <w:p>
      <w:pPr>
        <w:spacing w:after="0" w:line="9" w:lineRule="exact"/>
        <w:rPr>
          <w:sz w:val="20"/>
          <w:szCs w:val="20"/>
          <w:color w:val="auto"/>
        </w:rPr>
      </w:pPr>
    </w:p>
    <w:p>
      <w:pPr>
        <w:ind w:left="1190" w:hanging="1190"/>
        <w:spacing w:after="0"/>
        <w:tabs>
          <w:tab w:leader="none" w:pos="11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1404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404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1404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8622" w:space="720"/>
            <w:col w:w="1810"/>
          </w:cols>
          <w:pgMar w:left="328" w:top="1089" w:right="419" w:bottom="1440" w:gutter="0" w:footer="0" w:header="0"/>
          <w:type w:val="continuous"/>
        </w:sectPr>
      </w:pPr>
    </w:p>
    <w:p>
      <w:pPr>
        <w:jc w:val="both"/>
        <w:ind w:left="512" w:right="40"/>
        <w:spacing w:after="0" w:line="266" w:lineRule="auto"/>
        <w:rPr>
          <w:sz w:val="20"/>
          <w:szCs w:val="20"/>
          <w:color w:val="auto"/>
        </w:rPr>
      </w:pPr>
      <w:r>
        <w:rPr>
          <w:rFonts w:ascii="Times New Roman" w:cs="Times New Roman" w:eastAsia="Times New Roman" w:hAnsi="Times New Roman"/>
          <w:sz w:val="18"/>
          <w:szCs w:val="18"/>
          <w:color w:val="auto"/>
        </w:rPr>
        <w:t>As part of the acquisition, the Company issued 26,035,603 shares of common stock. The number of shares of common stock issued was based on a 9-day volume weighted average price of $11.83, established prior to the closing date of January 6, 2025. On the date of acquisition, the Company’s closing stock price was $11.41.</w:t>
      </w:r>
    </w:p>
    <w:p>
      <w:pPr>
        <w:spacing w:after="0" w:line="68" w:lineRule="exact"/>
        <w:rPr>
          <w:sz w:val="20"/>
          <w:szCs w:val="20"/>
          <w:color w:val="auto"/>
        </w:rPr>
      </w:pPr>
    </w:p>
    <w:p>
      <w:pPr>
        <w:jc w:val="both"/>
        <w:ind w:left="512" w:right="200"/>
        <w:spacing w:after="0" w:line="266" w:lineRule="auto"/>
        <w:rPr>
          <w:sz w:val="20"/>
          <w:szCs w:val="20"/>
          <w:color w:val="auto"/>
        </w:rPr>
      </w:pPr>
      <w:r>
        <w:rPr>
          <w:rFonts w:ascii="Times New Roman" w:cs="Times New Roman" w:eastAsia="Times New Roman" w:hAnsi="Times New Roman"/>
          <w:sz w:val="18"/>
          <w:szCs w:val="18"/>
          <w:color w:val="auto"/>
        </w:rPr>
        <w:t>Included in the shares of common stock issued are 10,356,096 restricted shares of common stock subject to re-vesting provisions. The restricted shares had a fair value as of the acquisition date of $118.2 million, of which $71.5 million is included in the consideration transferred in the table above, and the remaining $46.7 million is recognized as stock-based compensation expense over the vesting period (see Note 17).</w:t>
      </w:r>
    </w:p>
    <w:p>
      <w:pPr>
        <w:spacing w:after="0" w:line="68" w:lineRule="exact"/>
        <w:rPr>
          <w:sz w:val="20"/>
          <w:szCs w:val="20"/>
          <w:color w:val="auto"/>
        </w:rPr>
      </w:pPr>
    </w:p>
    <w:p>
      <w:pPr>
        <w:ind w:left="512"/>
        <w:spacing w:after="0" w:line="258" w:lineRule="auto"/>
        <w:rPr>
          <w:sz w:val="20"/>
          <w:szCs w:val="20"/>
          <w:color w:val="auto"/>
        </w:rPr>
      </w:pPr>
      <w:r>
        <w:rPr>
          <w:rFonts w:ascii="Times New Roman" w:cs="Times New Roman" w:eastAsia="Times New Roman" w:hAnsi="Times New Roman"/>
          <w:sz w:val="18"/>
          <w:szCs w:val="18"/>
          <w:color w:val="auto"/>
        </w:rPr>
        <w:t>The fair value of the option holdback corresponds to the fair value of certain unvested EvolutionIQ stock options subject to future vesting as of the acquisition date. If the optionholder does not meet the time-based vesting requirement, the corresponding holdback amount is released to the selling shareholders. If the optionholder meets the vesting requirement, the optionholder receives the corresponding holdback amount in shares of the Company’s common stock, and the holdback cash amount is retained by the Company. Upon settlement the Company retained $3.1 million and returned $0.1 million to the selling shareholders.</w:t>
      </w:r>
    </w:p>
    <w:p>
      <w:pPr>
        <w:spacing w:after="0" w:line="75" w:lineRule="exact"/>
        <w:rPr>
          <w:sz w:val="20"/>
          <w:szCs w:val="20"/>
          <w:color w:val="auto"/>
        </w:rPr>
      </w:pPr>
    </w:p>
    <w:p>
      <w:pPr>
        <w:jc w:val="both"/>
        <w:ind w:left="512" w:right="140"/>
        <w:spacing w:after="0" w:line="266" w:lineRule="auto"/>
        <w:rPr>
          <w:sz w:val="20"/>
          <w:szCs w:val="20"/>
          <w:color w:val="auto"/>
        </w:rPr>
      </w:pPr>
      <w:r>
        <w:rPr>
          <w:rFonts w:ascii="Times New Roman" w:cs="Times New Roman" w:eastAsia="Times New Roman" w:hAnsi="Times New Roman"/>
          <w:sz w:val="18"/>
          <w:szCs w:val="18"/>
          <w:color w:val="auto"/>
        </w:rPr>
        <w:t xml:space="preserve">The acquisition of EvolutionIQ was accounted for as a business combination and reflects the application of acquisition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total purchase consideration was allocated to the assets acquired and liabilities assumed based on fair value as of the acquisition date with the excess purchase price assigned to</w:t>
      </w:r>
    </w:p>
    <w:p>
      <w:pPr>
        <w:spacing w:after="0" w:line="176"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089" w:right="41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goodwill. Goodwill was primarily attributable to expected synergies from the combined service offerings and the value of the acquired workforce.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intangible assets are not deductible for tax purposes.</w:t>
      </w:r>
    </w:p>
    <w:p>
      <w:pPr>
        <w:spacing w:after="0" w:line="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Company’s estimates of the fair values of the assets acquired and liabilities assumed are based on information available at the date of acquisition. During the measurement period, which may be up to one year from the acquisition date, adjustments may be recorded to the fair values of these tangible and intangible assets acquired and liabilities assumed, including uncertain tax positions and tax-related valuation allowances, with the corresponding offset to goodwill. The purchase price allocation was finalized during the year ended December 31, 2025.</w:t>
      </w:r>
    </w:p>
    <w:p>
      <w:pPr>
        <w:spacing w:after="0" w:line="72" w:lineRule="exact"/>
        <w:rPr>
          <w:sz w:val="20"/>
          <w:szCs w:val="20"/>
          <w:color w:val="auto"/>
        </w:rPr>
      </w:pPr>
    </w:p>
    <w:p>
      <w:pPr>
        <w:ind w:right="580"/>
        <w:spacing w:after="0" w:line="272" w:lineRule="auto"/>
        <w:rPr>
          <w:sz w:val="20"/>
          <w:szCs w:val="20"/>
          <w:color w:val="auto"/>
        </w:rPr>
      </w:pPr>
      <w:r>
        <w:rPr>
          <w:rFonts w:ascii="Times New Roman" w:cs="Times New Roman" w:eastAsia="Times New Roman" w:hAnsi="Times New Roman"/>
          <w:sz w:val="18"/>
          <w:szCs w:val="18"/>
          <w:color w:val="auto"/>
        </w:rPr>
        <w:t>The following table summarizes the final allocation of the consideration to the fair values of the assets acquired and liabilities assumed at the acquisition date (in thousands):</w:t>
      </w:r>
    </w:p>
    <w:tbl>
      <w:tblPr>
        <w:tblLayout w:type="fixed"/>
        <w:tblInd w:w="60" w:type="dxa"/>
        <w:tblCellMar>
          <w:top w:w="0" w:type="dxa"/>
          <w:left w:w="0" w:type="dxa"/>
          <w:bottom w:w="0" w:type="dxa"/>
          <w:right w:w="0" w:type="dxa"/>
        </w:tblCellMar>
      </w:tblPr>
      <w:tr>
        <w:trPr>
          <w:trHeight w:val="197"/>
        </w:trPr>
        <w:tc>
          <w:tcPr>
            <w:tcW w:w="876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8"/>
                <w:szCs w:val="18"/>
                <w:color w:val="auto"/>
              </w:rPr>
              <w:t>Assets acquired:</w:t>
            </w:r>
          </w:p>
        </w:tc>
        <w:tc>
          <w:tcPr>
            <w:tcW w:w="6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100" w:type="dxa"/>
            <w:vAlign w:val="bottom"/>
          </w:tcPr>
          <w:p>
            <w:pPr>
              <w:spacing w:after="0"/>
              <w:rPr>
                <w:sz w:val="18"/>
                <w:szCs w:val="18"/>
                <w:color w:val="auto"/>
              </w:rPr>
            </w:pPr>
          </w:p>
        </w:tc>
      </w:tr>
      <w:tr>
        <w:trPr>
          <w:trHeight w:val="216"/>
        </w:trPr>
        <w:tc>
          <w:tcPr>
            <w:tcW w:w="8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167,900</w:t>
            </w:r>
          </w:p>
        </w:tc>
        <w:tc>
          <w:tcPr>
            <w:tcW w:w="100" w:type="dxa"/>
            <w:vAlign w:val="bottom"/>
            <w:shd w:val="clear" w:color="auto" w:fill="CFF0FC"/>
          </w:tcPr>
          <w:p>
            <w:pPr>
              <w:spacing w:after="0"/>
              <w:rPr>
                <w:sz w:val="18"/>
                <w:szCs w:val="18"/>
                <w:color w:val="auto"/>
              </w:rPr>
            </w:pPr>
          </w:p>
        </w:tc>
      </w:tr>
      <w:tr>
        <w:trPr>
          <w:trHeight w:val="216"/>
        </w:trPr>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100" w:type="dxa"/>
            <w:vAlign w:val="bottom"/>
          </w:tcPr>
          <w:p>
            <w:pPr>
              <w:spacing w:after="0"/>
              <w:rPr>
                <w:sz w:val="18"/>
                <w:szCs w:val="18"/>
                <w:color w:val="auto"/>
              </w:rPr>
            </w:pPr>
          </w:p>
        </w:tc>
      </w:tr>
      <w:tr>
        <w:trPr>
          <w:trHeight w:val="209"/>
        </w:trPr>
        <w:tc>
          <w:tcPr>
            <w:tcW w:w="87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assets acquired</w:t>
            </w: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188,085</w:t>
            </w:r>
          </w:p>
        </w:tc>
        <w:tc>
          <w:tcPr>
            <w:tcW w:w="100" w:type="dxa"/>
            <w:vAlign w:val="bottom"/>
            <w:shd w:val="clear" w:color="auto" w:fill="CFF0FC"/>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21,461</w:t>
            </w:r>
          </w:p>
        </w:tc>
        <w:tc>
          <w:tcPr>
            <w:tcW w:w="100" w:type="dxa"/>
            <w:vAlign w:val="bottom"/>
            <w:shd w:val="clear" w:color="auto" w:fill="CFF0FC"/>
          </w:tcPr>
          <w:p>
            <w:pPr>
              <w:spacing w:after="0"/>
              <w:rPr>
                <w:sz w:val="18"/>
                <w:szCs w:val="18"/>
                <w:color w:val="auto"/>
              </w:rPr>
            </w:pPr>
          </w:p>
        </w:tc>
      </w:tr>
      <w:tr>
        <w:trPr>
          <w:trHeight w:val="216"/>
        </w:trPr>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18"/>
                <w:szCs w:val="18"/>
                <w:color w:val="auto"/>
              </w:rPr>
            </w:pPr>
          </w:p>
        </w:tc>
      </w:tr>
      <w:tr>
        <w:trPr>
          <w:trHeight w:val="216"/>
        </w:trPr>
        <w:tc>
          <w:tcPr>
            <w:tcW w:w="8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100" w:type="dxa"/>
            <w:vAlign w:val="bottom"/>
            <w:shd w:val="clear" w:color="auto" w:fill="CFF0FC"/>
          </w:tcPr>
          <w:p>
            <w:pPr>
              <w:spacing w:after="0"/>
              <w:rPr>
                <w:sz w:val="18"/>
                <w:szCs w:val="18"/>
                <w:color w:val="auto"/>
              </w:rPr>
            </w:pPr>
          </w:p>
        </w:tc>
      </w:tr>
      <w:tr>
        <w:trPr>
          <w:trHeight w:val="216"/>
        </w:trPr>
        <w:tc>
          <w:tcPr>
            <w:tcW w:w="8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Non-current liabilities</w:t>
            </w: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10,238</w:t>
            </w:r>
          </w:p>
        </w:tc>
        <w:tc>
          <w:tcPr>
            <w:tcW w:w="100" w:type="dxa"/>
            <w:vAlign w:val="bottom"/>
          </w:tcPr>
          <w:p>
            <w:pPr>
              <w:spacing w:after="0"/>
              <w:rPr>
                <w:sz w:val="18"/>
                <w:szCs w:val="18"/>
                <w:color w:val="auto"/>
              </w:rPr>
            </w:pPr>
          </w:p>
        </w:tc>
      </w:tr>
      <w:tr>
        <w:trPr>
          <w:trHeight w:val="210"/>
        </w:trPr>
        <w:tc>
          <w:tcPr>
            <w:tcW w:w="876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6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51,645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136,440</w:t>
            </w:r>
          </w:p>
        </w:tc>
        <w:tc>
          <w:tcPr>
            <w:tcW w:w="100" w:type="dxa"/>
            <w:vAlign w:val="bottom"/>
          </w:tcPr>
          <w:p>
            <w:pPr>
              <w:spacing w:after="0"/>
              <w:rPr>
                <w:sz w:val="18"/>
                <w:szCs w:val="18"/>
                <w:color w:val="auto"/>
              </w:rPr>
            </w:pPr>
          </w:p>
        </w:tc>
      </w:tr>
      <w:tr>
        <w:trPr>
          <w:trHeight w:val="216"/>
        </w:trPr>
        <w:tc>
          <w:tcPr>
            <w:tcW w:w="8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537,827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674,267</w:t>
            </w:r>
          </w:p>
        </w:tc>
        <w:tc>
          <w:tcPr>
            <w:tcW w:w="100" w:type="dxa"/>
            <w:vAlign w:val="bottom"/>
          </w:tcPr>
          <w:p>
            <w:pPr>
              <w:spacing w:after="0"/>
              <w:rPr>
                <w:sz w:val="18"/>
                <w:szCs w:val="18"/>
                <w:color w:val="auto"/>
              </w:rPr>
            </w:pPr>
          </w:p>
        </w:tc>
      </w:tr>
      <w:tr>
        <w:trPr>
          <w:trHeight w:val="20"/>
        </w:trPr>
        <w:tc>
          <w:tcPr>
            <w:tcW w:w="8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6746875</wp:posOffset>
            </wp:positionH>
            <wp:positionV relativeFrom="paragraph">
              <wp:posOffset>-453390</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6746875</wp:posOffset>
            </wp:positionH>
            <wp:positionV relativeFrom="paragraph">
              <wp:posOffset>-170815</wp:posOffset>
            </wp:positionV>
            <wp:extent cx="596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fair values, discount rates, and estimated useful lives of the acquired intangible assets is as follows (dollars in thousands):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Intangible Asset</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7"/>
              </w:rPr>
              <w:t>Discount Rate</w:t>
            </w:r>
          </w:p>
        </w:tc>
        <w:tc>
          <w:tcPr>
            <w:tcW w:w="180" w:type="dxa"/>
            <w:vAlign w:val="bottom"/>
          </w:tcPr>
          <w:p>
            <w:pPr>
              <w:spacing w:after="0"/>
              <w:rPr>
                <w:sz w:val="18"/>
                <w:szCs w:val="18"/>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Acquired technology</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134,300</w:t>
            </w:r>
          </w:p>
        </w:tc>
        <w:tc>
          <w:tcPr>
            <w:tcW w:w="154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w:t>
            </w:r>
          </w:p>
        </w:tc>
        <w:tc>
          <w:tcPr>
            <w:tcW w:w="15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 years</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54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FF0FC"/>
          </w:tcPr>
          <w:p>
            <w:pPr>
              <w:spacing w:after="0"/>
              <w:rPr>
                <w:sz w:val="18"/>
                <w:szCs w:val="18"/>
                <w:color w:val="auto"/>
              </w:rPr>
            </w:pPr>
          </w:p>
        </w:tc>
        <w:tc>
          <w:tcPr>
            <w:tcW w:w="1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9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utilized different valuation approaches and methodologies to determine the fair values of acquired intangible assets. The valuation approaches and methodologies were based on estimates of future operating projections as well as judgments on the discount rates and other variables. These fair values were based on significant unobservable inputs, including management estimates and assumptions and thus represent Level 3 measures in the fair value hierarchy.</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Acquired technology was valued using the multi-period excess earnings method. This method of valuation reflects the present value of the projected cash flows that are expected to be generated by the acquired technology less charges representing the contribution of other assets to those cash flows.</w:t>
      </w:r>
    </w:p>
    <w:p>
      <w:pPr>
        <w:spacing w:after="0" w:line="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Customer relationships were valued using a distributor method, which uses market-based inputs to value an asset. Under the distributor method, the value of the customer relationships is a function of several components, including revenue associated with the existing customers, distributor profit margin, charges for use of other assets and discount rate.</w:t>
      </w:r>
    </w:p>
    <w:p>
      <w:pPr>
        <w:spacing w:after="0" w:line="6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trademark was valued under the relief from royalty method, which is equal to the present value of the after-tax royalty savings attributable to owning the trademark as opposed to paying a third party for its use.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acquired intangible assets, with a weighted average useful life of 9.5 years, are amortized on a straight-line basis.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incurred transaction costs associated with the acquisition of $17.0 million. The Company incurred transaction costs of $8.3 million, included in general and administrative expenses within the consolidated statements of operations and comprehensive income (loss) for the year ended December 31, 2025.</w:t>
      </w:r>
    </w:p>
    <w:p>
      <w:pPr>
        <w:spacing w:after="0" w:line="17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12" w:name="page13"/>
    <w:bookmarkEnd w:id="12"/>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9" w:lineRule="exact"/>
        <w:rPr>
          <w:rFonts w:ascii="Times New Roman" w:cs="Times New Roman" w:eastAsia="Times New Roman" w:hAnsi="Times New Roman"/>
          <w:sz w:val="18"/>
          <w:szCs w:val="18"/>
          <w:b w:val="1"/>
          <w:bCs w:val="1"/>
          <w:color w:val="auto"/>
        </w:rPr>
      </w:pPr>
    </w:p>
    <w:p>
      <w:pPr>
        <w:ind w:left="520" w:right="20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Disaggregation of Revenue</w:t>
      </w:r>
      <w:r>
        <w:rPr>
          <w:rFonts w:ascii="Times New Roman" w:cs="Times New Roman" w:eastAsia="Times New Roman" w:hAnsi="Times New Roman"/>
          <w:sz w:val="18"/>
          <w:szCs w:val="18"/>
          <w:color w:val="auto"/>
        </w:rPr>
        <w:t>—The Company provides disaggregation of revenue based on type of service as it believes these categories best depict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the nature, amount, timing and uncertainty of revenue and cash flows are affected by economic factors.</w:t>
      </w:r>
    </w:p>
    <w:p>
      <w:pPr>
        <w:spacing w:after="0" w:line="5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revenue by type of service for the three months ended March 31, 2026 and 2025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8"/>
        </w:trPr>
        <w:tc>
          <w:tcPr>
            <w:tcW w:w="3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9"/>
        </w:trPr>
        <w:tc>
          <w:tcPr>
            <w:tcW w:w="3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6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r>
      <w:tr>
        <w:trPr>
          <w:trHeight w:val="209"/>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316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270,120</w:t>
            </w:r>
          </w:p>
        </w:tc>
        <w:tc>
          <w:tcPr>
            <w:tcW w:w="146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242,536</w:t>
            </w:r>
          </w:p>
        </w:tc>
        <w:tc>
          <w:tcPr>
            <w:tcW w:w="200" w:type="dxa"/>
            <w:vAlign w:val="bottom"/>
            <w:shd w:val="clear" w:color="auto" w:fill="CFF0FC"/>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11,155</w:t>
            </w:r>
          </w:p>
        </w:tc>
        <w:tc>
          <w:tcPr>
            <w:tcW w:w="44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200" w:type="dxa"/>
            <w:vAlign w:val="bottom"/>
          </w:tcPr>
          <w:p>
            <w:pPr>
              <w:spacing w:after="0"/>
              <w:rPr>
                <w:sz w:val="18"/>
                <w:szCs w:val="18"/>
                <w:color w:val="auto"/>
              </w:rPr>
            </w:pPr>
          </w:p>
        </w:tc>
      </w:tr>
      <w:tr>
        <w:trPr>
          <w:trHeight w:val="229"/>
        </w:trPr>
        <w:tc>
          <w:tcPr>
            <w:tcW w:w="3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316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281,274</w:t>
            </w:r>
          </w:p>
        </w:tc>
        <w:tc>
          <w:tcPr>
            <w:tcW w:w="146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251,565</w:t>
            </w:r>
          </w:p>
        </w:tc>
        <w:tc>
          <w:tcPr>
            <w:tcW w:w="200" w:type="dxa"/>
            <w:vAlign w:val="bottom"/>
            <w:shd w:val="clear" w:color="auto" w:fill="CFF0FC"/>
          </w:tcPr>
          <w:p>
            <w:pPr>
              <w:spacing w:after="0"/>
              <w:rPr>
                <w:sz w:val="19"/>
                <w:szCs w:val="19"/>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-24765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-7620</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6" w:lineRule="exact"/>
        <w:rPr>
          <w:sz w:val="20"/>
          <w:szCs w:val="20"/>
          <w:color w:val="auto"/>
        </w:rPr>
      </w:pPr>
    </w:p>
    <w:p>
      <w:pPr>
        <w:ind w:left="520" w:right="60"/>
        <w:spacing w:after="0" w:line="257" w:lineRule="auto"/>
        <w:rPr>
          <w:sz w:val="20"/>
          <w:szCs w:val="20"/>
          <w:color w:val="auto"/>
        </w:rPr>
      </w:pPr>
      <w:r>
        <w:rPr>
          <w:rFonts w:ascii="Times New Roman" w:cs="Times New Roman" w:eastAsia="Times New Roman" w:hAnsi="Times New Roman"/>
          <w:sz w:val="18"/>
          <w:szCs w:val="18"/>
          <w:i w:val="1"/>
          <w:iCs w:val="1"/>
          <w:color w:val="auto"/>
        </w:rPr>
        <w:t>Transaction Price Allocated to the Remaining Performance Obligations</w:t>
      </w:r>
      <w:r>
        <w:rPr>
          <w:rFonts w:ascii="Times New Roman" w:cs="Times New Roman" w:eastAsia="Times New Roman" w:hAnsi="Times New Roman"/>
          <w:sz w:val="18"/>
          <w:szCs w:val="18"/>
          <w:color w:val="auto"/>
        </w:rPr>
        <w:t>—Remaining performance obligations represent contracted revenue that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yet been recognized, which includes deferred revenue and amounts that will be invoiced and recognized as revenue in future periods. As of March 31, 2026, approximately $1,908 million of revenue is expected to be recognized from remaining performance obligations in the amount of approximately $814 million during the following twelve months, and approximately $1,094 million thereafter. The estimated revenues do not include unexercised contract renewals. The remaining performance obligations exclude future transaction revenue where revenue is recognized as the services are rendered and in the amount to which the Company has the right to invoice.</w:t>
      </w:r>
    </w:p>
    <w:p>
      <w:pPr>
        <w:spacing w:after="0" w:line="74" w:lineRule="exact"/>
        <w:rPr>
          <w:sz w:val="20"/>
          <w:szCs w:val="20"/>
          <w:color w:val="auto"/>
        </w:rPr>
      </w:pPr>
    </w:p>
    <w:p>
      <w:pPr>
        <w:ind w:left="520" w:right="40"/>
        <w:spacing w:after="0" w:line="267" w:lineRule="auto"/>
        <w:rPr>
          <w:sz w:val="20"/>
          <w:szCs w:val="20"/>
          <w:color w:val="auto"/>
        </w:rPr>
      </w:pPr>
      <w:r>
        <w:rPr>
          <w:rFonts w:ascii="Times New Roman" w:cs="Times New Roman" w:eastAsia="Times New Roman" w:hAnsi="Times New Roman"/>
          <w:sz w:val="18"/>
          <w:szCs w:val="18"/>
          <w:i w:val="1"/>
          <w:iCs w:val="1"/>
          <w:color w:val="auto"/>
        </w:rPr>
        <w:t>Deferred Revenue</w:t>
      </w:r>
      <w:r>
        <w:rPr>
          <w:rFonts w:ascii="Times New Roman" w:cs="Times New Roman" w:eastAsia="Times New Roman" w:hAnsi="Times New Roman"/>
          <w:sz w:val="18"/>
          <w:szCs w:val="18"/>
          <w:color w:val="auto"/>
        </w:rPr>
        <w:t>—Revenue recognized for the three months ended March 31, 2026 from amounts in deferred revenue as of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$51.3 million. Revenue recognized for the three months ended March 31, 2025 from amounts in deferred revenue as of December 31, 2024 was $42.3 million.</w:t>
      </w:r>
    </w:p>
    <w:p>
      <w:pPr>
        <w:spacing w:after="0" w:line="65" w:lineRule="exact"/>
        <w:rPr>
          <w:sz w:val="20"/>
          <w:szCs w:val="20"/>
          <w:color w:val="auto"/>
        </w:rPr>
      </w:pPr>
    </w:p>
    <w:p>
      <w:pPr>
        <w:ind w:left="520" w:right="520"/>
        <w:spacing w:after="0" w:line="262" w:lineRule="auto"/>
        <w:rPr>
          <w:sz w:val="20"/>
          <w:szCs w:val="20"/>
          <w:color w:val="auto"/>
        </w:rPr>
      </w:pPr>
      <w:r>
        <w:rPr>
          <w:rFonts w:ascii="Times New Roman" w:cs="Times New Roman" w:eastAsia="Times New Roman" w:hAnsi="Times New Roman"/>
          <w:sz w:val="18"/>
          <w:szCs w:val="18"/>
          <w:i w:val="1"/>
          <w:iCs w:val="1"/>
          <w:color w:val="auto"/>
        </w:rPr>
        <w:t>Contract Assets and Liabilities</w:t>
      </w:r>
      <w:r>
        <w:rPr>
          <w:rFonts w:ascii="Times New Roman" w:cs="Times New Roman" w:eastAsia="Times New Roman" w:hAnsi="Times New Roman"/>
          <w:sz w:val="18"/>
          <w:szCs w:val="18"/>
          <w:color w:val="auto"/>
        </w:rPr>
        <w:t>—The opening and closing balances of the Company’s receivables,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are as follows (in thousands):</w:t>
      </w:r>
    </w:p>
    <w:tbl>
      <w:tblPr>
        <w:tblLayout w:type="fixed"/>
        <w:tblInd w:w="580" w:type="dxa"/>
        <w:tblCellMar>
          <w:top w:w="0" w:type="dxa"/>
          <w:left w:w="0" w:type="dxa"/>
          <w:bottom w:w="0" w:type="dxa"/>
          <w:right w:w="0" w:type="dxa"/>
        </w:tblCellMar>
      </w:tblPr>
      <w:tr>
        <w:trPr>
          <w:trHeight w:val="194"/>
        </w:trPr>
        <w:tc>
          <w:tcPr>
            <w:tcW w:w="5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50"/>
              <w:spacing w:after="0" w:line="195"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receivables—Net of allowances</w:t>
            </w:r>
          </w:p>
        </w:tc>
        <w:tc>
          <w:tcPr>
            <w:tcW w:w="2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140,491</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137,056</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24,923</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22,525</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22,479</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(accounts receivable, non-current)</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25,532</w:t>
            </w:r>
          </w:p>
        </w:tc>
        <w:tc>
          <w:tcPr>
            <w:tcW w:w="10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71,479</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72,793</w:t>
            </w:r>
          </w:p>
        </w:tc>
        <w:tc>
          <w:tcPr>
            <w:tcW w:w="100" w:type="dxa"/>
            <w:vAlign w:val="bottom"/>
            <w:shd w:val="clear" w:color="auto" w:fill="CFF0FC"/>
          </w:tcPr>
          <w:p>
            <w:pPr>
              <w:spacing w:after="0"/>
              <w:rPr>
                <w:sz w:val="18"/>
                <w:szCs w:val="18"/>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(deferred revenues, non-current)</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119" w:lineRule="exact"/>
        <w:rPr>
          <w:rFonts w:ascii="Times New Roman" w:cs="Times New Roman" w:eastAsia="Times New Roman" w:hAnsi="Times New Roman"/>
          <w:sz w:val="18"/>
          <w:szCs w:val="18"/>
          <w:b w:val="1"/>
          <w:bCs w:val="1"/>
          <w:color w:val="auto"/>
        </w:rPr>
      </w:pPr>
    </w:p>
    <w:p>
      <w:pPr>
        <w:ind w:left="52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—In February 2025, the Company entered into three interest rate swap agreements to reduce its exposure to variability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cash flows resulting from interest rate risk related to its floating rate long-term debt (see Note 14). The fair value of the interest rate swap agreements was estimated using inputs that were observable or that could be corroborated by observable market data and therefore was classified within Level 2 of the fair value hierarchy as of March 31, 2026.</w:t>
      </w:r>
    </w:p>
    <w:p>
      <w:pPr>
        <w:spacing w:after="0" w:line="73" w:lineRule="exact"/>
        <w:rPr>
          <w:rFonts w:ascii="Times New Roman" w:cs="Times New Roman" w:eastAsia="Times New Roman" w:hAnsi="Times New Roman"/>
          <w:sz w:val="18"/>
          <w:szCs w:val="18"/>
          <w:b w:val="1"/>
          <w:bCs w:val="1"/>
          <w:color w:val="auto"/>
        </w:rPr>
      </w:pPr>
    </w:p>
    <w:p>
      <w:pPr>
        <w:ind w:left="52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designate its interest rate swap agreements as hedging instruments and records the changes in fair value within other income (expense)-net on the condensed consolidated statements of operations and comprehensive income (loss). As of March 31, 2026, the interest rate swap agreements had a fair value liability of $3.0 million. The fair value of the interest rate swap agreements is classified within other liabilities in the accompanying condensed consolidated balance sheet as of March 31, 2026.</w:t>
      </w:r>
    </w:p>
    <w:p>
      <w:pPr>
        <w:spacing w:after="0" w:line="7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fair value of the assets and liabilities measured at fair value on a recurring basis at March 31, 2026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58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3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628"/>
        </w:trPr>
        <w:tc>
          <w:tcPr>
            <w:tcW w:w="580" w:type="dxa"/>
            <w:vAlign w:val="bottom"/>
          </w:tcPr>
          <w:p>
            <w:pPr>
              <w:spacing w:after="0"/>
              <w:rPr>
                <w:sz w:val="24"/>
                <w:szCs w:val="24"/>
                <w:color w:val="auto"/>
              </w:rPr>
            </w:pPr>
          </w:p>
        </w:tc>
        <w:tc>
          <w:tcPr>
            <w:tcW w:w="3140" w:type="dxa"/>
            <w:vAlign w:val="bottom"/>
            <w:tcBorders>
              <w:top w:val="single" w:sz="8" w:color="CFF0FC"/>
            </w:tcBorders>
          </w:tcPr>
          <w:p>
            <w:pPr>
              <w:spacing w:after="0"/>
              <w:rPr>
                <w:sz w:val="24"/>
                <w:szCs w:val="24"/>
                <w:color w:val="auto"/>
              </w:rPr>
            </w:pPr>
          </w:p>
        </w:tc>
        <w:tc>
          <w:tcPr>
            <w:tcW w:w="2380" w:type="dxa"/>
            <w:vAlign w:val="bottom"/>
            <w:tcBorders>
              <w:top w:val="single" w:sz="8" w:color="CFF0FC"/>
            </w:tcBorders>
          </w:tcPr>
          <w:p>
            <w:pPr>
              <w:jc w:val="right"/>
              <w:ind w:right="2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-933450</wp:posOffset>
            </wp:positionV>
            <wp:extent cx="60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-916305</wp:posOffset>
            </wp:positionV>
            <wp:extent cx="603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-933450</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-916305</wp:posOffset>
            </wp:positionV>
            <wp:extent cx="603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-933450</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-916305</wp:posOffset>
            </wp:positionV>
            <wp:extent cx="603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-933450</wp:posOffset>
            </wp:positionV>
            <wp:extent cx="596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-916305</wp:posOffset>
            </wp:positionV>
            <wp:extent cx="59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left="520" w:right="76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fair value of the assets and liabilities measured at fair value on a recurring basis at December 31, 2025 (in thousands):</w:t>
      </w:r>
    </w:p>
    <w:tbl>
      <w:tblPr>
        <w:tblLayout w:type="fixed"/>
        <w:tblInd w:w="58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596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596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6" w:lineRule="exact"/>
        <w:rPr>
          <w:sz w:val="20"/>
          <w:szCs w:val="20"/>
          <w:color w:val="auto"/>
        </w:rPr>
      </w:pPr>
    </w:p>
    <w:p>
      <w:pPr>
        <w:ind w:left="520" w:right="240"/>
        <w:spacing w:after="0" w:line="262" w:lineRule="auto"/>
        <w:rPr>
          <w:sz w:val="20"/>
          <w:szCs w:val="20"/>
          <w:color w:val="auto"/>
        </w:rPr>
      </w:pPr>
      <w:r>
        <w:rPr>
          <w:rFonts w:ascii="Times New Roman" w:cs="Times New Roman" w:eastAsia="Times New Roman" w:hAnsi="Times New Roman"/>
          <w:sz w:val="18"/>
          <w:szCs w:val="18"/>
          <w:b w:val="1"/>
          <w:bCs w:val="1"/>
          <w:color w:val="auto"/>
        </w:rPr>
        <w:t>Assets and Liabilities Measured at Fair Value on a Nonrecurring Basis</w:t>
      </w:r>
      <w:r>
        <w:rPr>
          <w:rFonts w:ascii="Times New Roman" w:cs="Times New Roman" w:eastAsia="Times New Roman" w:hAnsi="Times New Roman"/>
          <w:sz w:val="18"/>
          <w:szCs w:val="18"/>
          <w:color w:val="auto"/>
        </w:rPr>
        <w:t>—The Company has assets that under certain conditions are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at fair value on a nonrecurring basis. These assets include those associated with acquired businesses, including goodwill and other intangible assets. For these assets, measurement at fair value in periods subsequent to their initial recognition is applicable if one or more is determined to be impaired.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recognize any impairment charges related to these assets during the three months ended March 31, 2026 and 2025.</w:t>
      </w:r>
    </w:p>
    <w:p>
      <w:pPr>
        <w:spacing w:after="0" w:line="113" w:lineRule="exact"/>
        <w:rPr>
          <w:sz w:val="20"/>
          <w:szCs w:val="20"/>
          <w:color w:val="auto"/>
        </w:rPr>
      </w:pPr>
    </w:p>
    <w:p>
      <w:pPr>
        <w:ind w:left="520" w:right="60"/>
        <w:spacing w:after="0" w:line="263" w:lineRule="auto"/>
        <w:rPr>
          <w:sz w:val="20"/>
          <w:szCs w:val="20"/>
          <w:color w:val="auto"/>
        </w:rPr>
      </w:pPr>
      <w:r>
        <w:rPr>
          <w:rFonts w:ascii="Times New Roman" w:cs="Times New Roman" w:eastAsia="Times New Roman" w:hAnsi="Times New Roman"/>
          <w:sz w:val="18"/>
          <w:szCs w:val="18"/>
          <w:b w:val="1"/>
          <w:bCs w:val="1"/>
          <w:color w:val="auto"/>
        </w:rPr>
        <w:t>Fair Value of Other Financial Instruments</w:t>
      </w:r>
      <w:r>
        <w:rPr>
          <w:rFonts w:ascii="Times New Roman" w:cs="Times New Roman" w:eastAsia="Times New Roman" w:hAnsi="Times New Roman"/>
          <w:sz w:val="18"/>
          <w:szCs w:val="18"/>
          <w:color w:val="auto"/>
        </w:rPr>
        <w:t>—The following table presents the carrying amounts, net of debt discount, and estimated fair values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financial instruments that are not recorded at fair value on the condensed consolidated balance sheets (in thousands):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187"/>
        </w:trPr>
        <w:tc>
          <w:tcPr>
            <w:tcW w:w="35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00" w:type="dxa"/>
            <w:vAlign w:val="bottom"/>
          </w:tcPr>
          <w:p>
            <w:pPr>
              <w:spacing w:after="0"/>
              <w:rPr>
                <w:sz w:val="16"/>
                <w:szCs w:val="16"/>
                <w:color w:val="auto"/>
              </w:rPr>
            </w:pPr>
          </w:p>
        </w:tc>
      </w:tr>
      <w:tr>
        <w:trPr>
          <w:trHeight w:val="238"/>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including current maturities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1,286,746</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1,276,464</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1,289,968</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1,294,220</w:t>
            </w:r>
          </w:p>
        </w:tc>
        <w:tc>
          <w:tcPr>
            <w:tcW w:w="100" w:type="dxa"/>
            <w:vAlign w:val="bottom"/>
            <w:shd w:val="clear" w:color="auto" w:fill="CFF0FC"/>
          </w:tcPr>
          <w:p>
            <w:pPr>
              <w:spacing w:after="0"/>
              <w:rPr>
                <w:sz w:val="18"/>
                <w:szCs w:val="18"/>
                <w:color w:val="auto"/>
              </w:rPr>
            </w:pPr>
          </w:p>
        </w:tc>
      </w:tr>
    </w:tbl>
    <w:p>
      <w:pPr>
        <w:spacing w:after="0" w:line="90" w:lineRule="exact"/>
        <w:rPr>
          <w:sz w:val="20"/>
          <w:szCs w:val="20"/>
          <w:color w:val="auto"/>
        </w:rPr>
      </w:pPr>
    </w:p>
    <w:p>
      <w:pPr>
        <w:ind w:left="520" w:right="280"/>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including current maturities, was estimated based on the quoted market prices for the same or similar instruments and fluctuates with changes in applicable interest rates among other factors. The fair value of long-term debt is classified as a Level 2 measurement in the fair value hierarchy and is established based on observable inputs in less active markets.</w:t>
      </w:r>
    </w:p>
    <w:p>
      <w:pPr>
        <w:spacing w:after="0" w:line="17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recognized an income tax provision of $18.0 million and an income tax benefit of $13.4 million for the three months ended March 31, 2026 and 2025, respectively. The income tax provision for the three months ended March 31, 2026 was primarily due to the Company’s pre-tax book income, as well as the tax impact related to stock-based compensation expense. The income tax benefit for the three months ended March 31, 2025 was primarily due to the Company's pre-tax book loss.</w:t>
      </w:r>
    </w:p>
    <w:p>
      <w:pPr>
        <w:spacing w:after="0" w:line="71" w:lineRule="exact"/>
        <w:rPr>
          <w:rFonts w:ascii="Times New Roman" w:cs="Times New Roman" w:eastAsia="Times New Roman" w:hAnsi="Times New Roman"/>
          <w:sz w:val="18"/>
          <w:szCs w:val="18"/>
          <w:b w:val="1"/>
          <w:bCs w:val="1"/>
          <w:color w:val="auto"/>
        </w:rPr>
      </w:pPr>
    </w:p>
    <w:p>
      <w:pPr>
        <w:ind w:left="52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made income tax payments of $0.9 million and $1.0 million during the three months ended March 31, 2026 and 2025, respectively. The Company received a federal refund of $2.9 million and refunds of $0.1 million from various states during the three months ended March 31, 2026 and refunds of $0.5 million from various states during the three months ended March 31, 2025.</w:t>
      </w:r>
    </w:p>
    <w:p>
      <w:pPr>
        <w:spacing w:after="0" w:line="67" w:lineRule="exact"/>
        <w:rPr>
          <w:rFonts w:ascii="Times New Roman" w:cs="Times New Roman" w:eastAsia="Times New Roman" w:hAnsi="Times New Roman"/>
          <w:sz w:val="18"/>
          <w:szCs w:val="18"/>
          <w:b w:val="1"/>
          <w:bCs w:val="1"/>
          <w:color w:val="auto"/>
        </w:rPr>
      </w:pPr>
    </w:p>
    <w:p>
      <w:pPr>
        <w:ind w:left="52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unrecognized tax benefits were materially consistent with the amount as of December 31, 2025. The Company believes its liability for unrecognized tax benefits, excluding interest and penalties, will not materially change over the following twelve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receivable—Net as of March 31, 2026 and December 31, 2025,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144,504</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140,829</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 and sales reserves</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(3,773)</w:t>
            </w:r>
          </w:p>
        </w:tc>
      </w:tr>
      <w:tr>
        <w:trPr>
          <w:trHeight w:val="250"/>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receivable—Net</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140,491</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137,056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As of March 31, 2026, no customers accounted for 10% or greater of accounts receivable—Net. As of December 31, 2025, one customer accounted for 11% of accounts receivable—Net.</w:t>
      </w:r>
    </w:p>
    <w:p>
      <w:pPr>
        <w:spacing w:after="0" w:line="54" w:lineRule="exact"/>
        <w:rPr>
          <w:sz w:val="20"/>
          <w:szCs w:val="20"/>
          <w:color w:val="auto"/>
        </w:rPr>
      </w:pPr>
    </w:p>
    <w:p>
      <w:pPr>
        <w:ind w:left="520" w:right="240"/>
        <w:spacing w:after="0" w:line="261" w:lineRule="auto"/>
        <w:rPr>
          <w:sz w:val="20"/>
          <w:szCs w:val="20"/>
          <w:color w:val="auto"/>
        </w:rPr>
      </w:pPr>
      <w:r>
        <w:rPr>
          <w:rFonts w:ascii="Times New Roman" w:cs="Times New Roman" w:eastAsia="Times New Roman" w:hAnsi="Times New Roman"/>
          <w:sz w:val="18"/>
          <w:szCs w:val="18"/>
          <w:color w:val="auto"/>
        </w:rPr>
        <w:t>Changes to the allowance for credit losses and sales reserves during the three months ended March 31, 2026 and 2025 consist of the following (in thousands):</w:t>
      </w:r>
    </w:p>
    <w:tbl>
      <w:tblPr>
        <w:tblLayout w:type="fixed"/>
        <w:tblInd w:w="580" w:type="dxa"/>
        <w:tblCellMar>
          <w:top w:w="0" w:type="dxa"/>
          <w:left w:w="0" w:type="dxa"/>
          <w:bottom w:w="0" w:type="dxa"/>
          <w:right w:w="0" w:type="dxa"/>
        </w:tblCellMar>
      </w:tblPr>
      <w:tr>
        <w:trPr>
          <w:trHeight w:val="194"/>
        </w:trPr>
        <w:tc>
          <w:tcPr>
            <w:tcW w:w="5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6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Pr>
          <w:p>
            <w:pPr>
              <w:spacing w:after="0"/>
              <w:rPr>
                <w:sz w:val="18"/>
                <w:szCs w:val="18"/>
                <w:color w:val="auto"/>
              </w:rPr>
            </w:pPr>
          </w:p>
        </w:tc>
      </w:tr>
      <w:tr>
        <w:trPr>
          <w:trHeight w:val="210"/>
        </w:trPr>
        <w:tc>
          <w:tcPr>
            <w:tcW w:w="56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20" w:type="dxa"/>
            <w:vAlign w:val="bottom"/>
            <w:shd w:val="clear" w:color="auto" w:fill="CFF0FC"/>
          </w:tcPr>
          <w:p>
            <w:pPr>
              <w:jc w:val="right"/>
              <w:ind w:right="119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Charges to bad debt and sales reserves</w:t>
            </w:r>
          </w:p>
        </w:tc>
        <w:tc>
          <w:tcPr>
            <w:tcW w:w="1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0" w:type="dxa"/>
            <w:vAlign w:val="bottom"/>
          </w:tcPr>
          <w:p>
            <w:pPr>
              <w:spacing w:after="0"/>
              <w:rPr>
                <w:sz w:val="18"/>
                <w:szCs w:val="18"/>
                <w:color w:val="auto"/>
              </w:rPr>
            </w:pPr>
          </w:p>
        </w:tc>
      </w:tr>
      <w:tr>
        <w:trPr>
          <w:trHeight w:val="216"/>
        </w:trPr>
        <w:tc>
          <w:tcPr>
            <w:tcW w:w="5620" w:type="dxa"/>
            <w:vAlign w:val="bottom"/>
            <w:tcBorders>
              <w:right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Write-offs—Net</w:t>
            </w:r>
          </w:p>
        </w:tc>
        <w:tc>
          <w:tcPr>
            <w:tcW w:w="1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(1,105)</w:t>
            </w:r>
          </w:p>
        </w:tc>
        <w:tc>
          <w:tcPr>
            <w:tcW w:w="9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(2,331)</w:t>
            </w:r>
          </w:p>
        </w:tc>
      </w:tr>
      <w:tr>
        <w:trPr>
          <w:trHeight w:val="20"/>
        </w:trPr>
        <w:tc>
          <w:tcPr>
            <w:tcW w:w="5620" w:type="dxa"/>
            <w:vAlign w:val="bottom"/>
            <w:tcBorders>
              <w:right w:val="single" w:sz="8" w:color="CFF0FC"/>
            </w:tcBorders>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320" w:type="dxa"/>
            <w:vAlign w:val="bottom"/>
            <w:tcBorders>
              <w:bottom w:val="single" w:sz="8" w:color="auto"/>
            </w:tcBorders>
          </w:tcPr>
          <w:p>
            <w:pPr>
              <w:jc w:val="right"/>
              <w:ind w:right="119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320" w:type="dxa"/>
            <w:vAlign w:val="bottom"/>
          </w:tcPr>
          <w:p>
            <w:pPr>
              <w:spacing w:after="0"/>
              <w:rPr>
                <w:sz w:val="18"/>
                <w:szCs w:val="18"/>
                <w:color w:val="auto"/>
              </w:rPr>
            </w:pPr>
          </w:p>
        </w:tc>
        <w:tc>
          <w:tcPr>
            <w:tcW w:w="96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-170815</wp:posOffset>
            </wp:positionV>
            <wp:extent cx="596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as of March 31, 2026 and December 31, 2025 consists of the following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SaaS costs</w:t>
            </w:r>
          </w:p>
        </w:tc>
        <w:tc>
          <w:tcPr>
            <w:tcW w:w="3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Prepaid service fees</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 and equipment maintenance</w:t>
            </w:r>
          </w:p>
        </w:tc>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7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3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33,065</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78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-1079500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5" w:name="page16"/>
    <w:bookmarkEnd w:id="15"/>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SOFTWARE, EQUIPMENT, AND PROPERTY</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Software, equipment, and property as of March 31, 2026 and December 31, 2025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 and database</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331,705</w:t>
            </w: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316,557</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31,590</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and land</w:t>
            </w:r>
          </w:p>
        </w:tc>
        <w:tc>
          <w:tcPr>
            <w:tcW w:w="3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100" w:type="dxa"/>
            <w:vAlign w:val="bottom"/>
            <w:shd w:val="clear" w:color="auto" w:fill="CFF0FC"/>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8"/>
                <w:szCs w:val="18"/>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other equipment</w:t>
            </w:r>
          </w:p>
        </w:tc>
        <w:tc>
          <w:tcPr>
            <w:tcW w:w="3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software, equipment, and property</w:t>
            </w: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359,147</w:t>
            </w:r>
          </w:p>
        </w:tc>
        <w:tc>
          <w:tcPr>
            <w:tcW w:w="100" w:type="dxa"/>
            <w:vAlign w:val="bottom"/>
          </w:tcPr>
          <w:p>
            <w:pPr>
              <w:spacing w:after="0"/>
              <w:rPr>
                <w:sz w:val="18"/>
                <w:szCs w:val="18"/>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(202,885)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(192,351)</w:t>
            </w:r>
          </w:p>
        </w:tc>
      </w:tr>
      <w:tr>
        <w:trPr>
          <w:trHeight w:val="20"/>
        </w:trPr>
        <w:tc>
          <w:tcPr>
            <w:tcW w:w="6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Software, equipment, and property—Net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169,007</w:t>
            </w:r>
          </w:p>
        </w:tc>
        <w:tc>
          <w:tcPr>
            <w:tcW w:w="2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166,796</w:t>
            </w:r>
          </w:p>
        </w:tc>
        <w:tc>
          <w:tcPr>
            <w:tcW w:w="100" w:type="dxa"/>
            <w:vAlign w:val="bottom"/>
          </w:tcPr>
          <w:p>
            <w:pPr>
              <w:spacing w:after="0"/>
              <w:rPr>
                <w:sz w:val="18"/>
                <w:szCs w:val="18"/>
                <w:color w:val="auto"/>
              </w:rPr>
            </w:pPr>
          </w:p>
        </w:tc>
      </w:tr>
      <w:tr>
        <w:trPr>
          <w:trHeight w:val="20"/>
        </w:trPr>
        <w:tc>
          <w:tcPr>
            <w:tcW w:w="6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-453390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-453390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032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-170815</wp:posOffset>
            </wp:positionV>
            <wp:extent cx="59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software, equipment and property was $13.4 million and $13.6 million for the three months ended March 31, 2026 and 2025, respectively.</w:t>
      </w:r>
    </w:p>
    <w:p>
      <w:pPr>
        <w:spacing w:after="0" w:line="158"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rFonts w:ascii="Times New Roman" w:cs="Times New Roman" w:eastAsia="Times New Roman" w:hAnsi="Times New Roman"/>
          <w:sz w:val="18"/>
          <w:szCs w:val="18"/>
          <w:b w:val="1"/>
          <w:bCs w:val="1"/>
          <w:color w:val="auto"/>
        </w:rPr>
      </w:pPr>
    </w:p>
    <w:p>
      <w:pPr>
        <w:ind w:left="52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real estate in the form of office space and data center facilities. Generally, at the inception of the contract, the term for real estate leases ranges from 2 to 17 years and the term for equipment leases is 1 to 3 years. Some real estate leases include options to renew that can extend the original term by 3 to 5 years.</w:t>
      </w:r>
    </w:p>
    <w:p>
      <w:pPr>
        <w:spacing w:after="0" w:line="6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expense for the three months ended March 31, 2026 and 2025 were as follows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29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3200" w:type="dxa"/>
            <w:vAlign w:val="bottom"/>
            <w:gridSpan w:val="2"/>
            <w:shd w:val="clear" w:color="auto" w:fill="CFF0FC"/>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54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FF0FC"/>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46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r>
      <w:tr>
        <w:trPr>
          <w:trHeight w:val="230"/>
        </w:trPr>
        <w:tc>
          <w:tcPr>
            <w:tcW w:w="2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costs</w:t>
            </w:r>
          </w:p>
        </w:tc>
        <w:tc>
          <w:tcPr>
            <w:tcW w:w="3200" w:type="dxa"/>
            <w:vAlign w:val="bottom"/>
            <w:gridSpan w:val="2"/>
            <w:shd w:val="clear" w:color="auto" w:fill="CFF0FC"/>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540" w:type="dxa"/>
            <w:vAlign w:val="bottom"/>
            <w:gridSpan w:val="2"/>
            <w:shd w:val="clear" w:color="auto" w:fill="CFF0FC"/>
          </w:tcPr>
          <w:p>
            <w:pPr>
              <w:jc w:val="right"/>
              <w:ind w:right="10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00" w:type="dxa"/>
            <w:vAlign w:val="bottom"/>
            <w:shd w:val="clear" w:color="auto" w:fill="CFF0FC"/>
          </w:tcPr>
          <w:p>
            <w:pPr>
              <w:spacing w:after="0"/>
              <w:rPr>
                <w:sz w:val="19"/>
                <w:szCs w:val="19"/>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-24765</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596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0"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made cash payments for operating leases of $2.9 million and $2.3 million, respectively.</w:t>
      </w:r>
    </w:p>
    <w:p>
      <w:pPr>
        <w:spacing w:after="0" w:line="158"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and intangible assets are primarily the result of business acquisitions.</w:t>
      </w:r>
    </w:p>
    <w:p>
      <w:pPr>
        <w:spacing w:after="0" w:line="117" w:lineRule="exact"/>
        <w:rPr>
          <w:rFonts w:ascii="Times New Roman" w:cs="Times New Roman" w:eastAsia="Times New Roman" w:hAnsi="Times New Roman"/>
          <w:sz w:val="18"/>
          <w:szCs w:val="18"/>
          <w:b w:val="1"/>
          <w:bCs w:val="1"/>
          <w:color w:val="auto"/>
        </w:rPr>
      </w:pPr>
    </w:p>
    <w:p>
      <w:pPr>
        <w:ind w:left="520" w:right="72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performs its annual impairment assessment of goodwill and indefinite life intangible assets as of November 30 of each year. No impairments to goodwill or indefinite life intangible assets were recorded during the three months ended March 31, 2026.</w:t>
      </w:r>
    </w:p>
    <w:p>
      <w:pPr>
        <w:spacing w:after="0" w:line="1" w:lineRule="exact"/>
        <w:rPr>
          <w:rFonts w:ascii="Times New Roman" w:cs="Times New Roman" w:eastAsia="Times New Roman" w:hAnsi="Times New Roman"/>
          <w:sz w:val="18"/>
          <w:szCs w:val="18"/>
          <w:b w:val="1"/>
          <w:bCs w:val="1"/>
          <w:color w:val="auto"/>
        </w:rPr>
      </w:pPr>
    </w:p>
    <w:p>
      <w:pPr>
        <w:ind w:left="52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gross amount, accumulated impairment loss and carrying amount of goodwill as of March 31, 2026 and December 31, 2025.</w:t>
      </w:r>
    </w:p>
    <w:tbl>
      <w:tblPr>
        <w:tblLayout w:type="fixed"/>
        <w:tblInd w:w="580" w:type="dxa"/>
        <w:tblCellMar>
          <w:top w:w="0" w:type="dxa"/>
          <w:left w:w="0" w:type="dxa"/>
          <w:bottom w:w="0" w:type="dxa"/>
          <w:right w:w="0" w:type="dxa"/>
        </w:tblCellMar>
      </w:tblPr>
      <w:tr>
        <w:trPr>
          <w:trHeight w:val="194"/>
        </w:trPr>
        <w:tc>
          <w:tcPr>
            <w:tcW w:w="18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2"/>
          </w:tcPr>
          <w:p>
            <w:pPr>
              <w:jc w:val="center"/>
              <w:ind w:right="5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6"/>
                <w:szCs w:val="16"/>
                <w:color w:val="auto"/>
              </w:rPr>
            </w:pPr>
          </w:p>
        </w:tc>
        <w:tc>
          <w:tcPr>
            <w:tcW w:w="1760" w:type="dxa"/>
            <w:vAlign w:val="bottom"/>
            <w:gridSpan w:val="2"/>
          </w:tcPr>
          <w:p>
            <w:pPr>
              <w:ind w:left="620"/>
              <w:spacing w:after="0" w:line="194"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38"/>
        </w:trPr>
        <w:tc>
          <w:tcPr>
            <w:tcW w:w="18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Impairment Loss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00" w:type="dxa"/>
            <w:vAlign w:val="bottom"/>
          </w:tcPr>
          <w:p>
            <w:pPr>
              <w:spacing w:after="0"/>
              <w:rPr>
                <w:sz w:val="20"/>
                <w:szCs w:val="20"/>
                <w:color w:val="auto"/>
              </w:rPr>
            </w:pPr>
          </w:p>
        </w:tc>
      </w:tr>
      <w:tr>
        <w:trPr>
          <w:trHeight w:val="209"/>
        </w:trPr>
        <w:tc>
          <w:tcPr>
            <w:tcW w:w="1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as of March 31,</w:t>
            </w:r>
          </w:p>
        </w:tc>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2,058,753</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(103,202)</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1,955,551</w:t>
            </w:r>
          </w:p>
        </w:tc>
        <w:tc>
          <w:tcPr>
            <w:tcW w:w="100" w:type="dxa"/>
            <w:vAlign w:val="bottom"/>
            <w:shd w:val="clear" w:color="auto" w:fill="CFF0FC"/>
          </w:tcPr>
          <w:p>
            <w:pPr>
              <w:spacing w:after="0"/>
              <w:rPr>
                <w:sz w:val="18"/>
                <w:szCs w:val="18"/>
                <w:color w:val="auto"/>
              </w:rPr>
            </w:pPr>
          </w:p>
        </w:tc>
      </w:tr>
      <w:tr>
        <w:trPr>
          <w:trHeight w:val="234"/>
        </w:trPr>
        <w:tc>
          <w:tcPr>
            <w:tcW w:w="1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as of December</w:t>
            </w:r>
          </w:p>
        </w:tc>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2,058,753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(103,202)</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1,955,551</w:t>
            </w:r>
          </w:p>
        </w:tc>
        <w:tc>
          <w:tcPr>
            <w:tcW w:w="100" w:type="dxa"/>
            <w:vAlign w:val="bottom"/>
          </w:tcPr>
          <w:p>
            <w:pPr>
              <w:spacing w:after="0"/>
              <w:rPr>
                <w:sz w:val="20"/>
                <w:szCs w:val="20"/>
                <w:color w:val="auto"/>
              </w:rPr>
            </w:pPr>
          </w:p>
        </w:tc>
      </w:tr>
    </w:tbl>
    <w:p>
      <w:pPr>
        <w:spacing w:after="0" w:line="71"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The accumulated impairment loss as of December 31, 2025 was due to impairment charges of $77.4 million and $25.8 million recognized during the years ended December 31, 2023 and December 31, 2019,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in the carrying amount of goodwill during the three months ended March 31,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—No intangible asset impairments were recorded during the three months ended March 31, 2026.</w:t>
      </w:r>
    </w:p>
    <w:p>
      <w:pPr>
        <w:spacing w:after="0" w:line="119"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6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intangible assets balance as of March 31, 2026 is reflected below (in thousands):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38"/>
        </w:trPr>
        <w:tc>
          <w:tcPr>
            <w:tcW w:w="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8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9"/>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16-18</w:t>
            </w:r>
          </w:p>
        </w:tc>
        <w:tc>
          <w:tcPr>
            <w:tcW w:w="13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$1,324,130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$681,074</w:t>
            </w:r>
          </w:p>
        </w:tc>
      </w:tr>
      <w:tr>
        <w:trPr>
          <w:trHeight w:val="216"/>
        </w:trPr>
        <w:tc>
          <w:tcPr>
            <w:tcW w:w="60" w:type="dxa"/>
            <w:vAlign w:val="bottom"/>
          </w:tcPr>
          <w:p>
            <w:pPr>
              <w:spacing w:after="0"/>
              <w:rPr>
                <w:sz w:val="18"/>
                <w:szCs w:val="18"/>
                <w:color w:val="auto"/>
              </w:rPr>
            </w:pPr>
          </w:p>
        </w:tc>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Acquired technologies</w:t>
            </w:r>
          </w:p>
        </w:tc>
        <w:tc>
          <w:tcPr>
            <w:tcW w:w="122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380" w:type="dxa"/>
            <w:vAlign w:val="bottom"/>
            <w:gridSpan w:val="4"/>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139,100</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(23,841)</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115,259</w:t>
            </w: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975</w:t>
            </w:r>
          </w:p>
        </w:tc>
      </w:tr>
      <w:tr>
        <w:trPr>
          <w:trHeight w:val="209"/>
        </w:trPr>
        <w:tc>
          <w:tcPr>
            <w:tcW w:w="60" w:type="dxa"/>
            <w:vAlign w:val="bottom"/>
          </w:tcPr>
          <w:p>
            <w:pPr>
              <w:spacing w:after="0"/>
              <w:rPr>
                <w:sz w:val="18"/>
                <w:szCs w:val="18"/>
                <w:color w:val="auto"/>
              </w:rPr>
            </w:pPr>
          </w:p>
        </w:tc>
        <w:tc>
          <w:tcPr>
            <w:tcW w:w="3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1,464,530</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(667,222)</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797,308</w:t>
            </w: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Trademarks—indefinite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190,470</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190,470</w:t>
            </w:r>
          </w:p>
        </w:tc>
      </w:tr>
      <w:tr>
        <w:trPr>
          <w:trHeight w:val="250"/>
        </w:trPr>
        <w:tc>
          <w:tcPr>
            <w:tcW w:w="60" w:type="dxa"/>
            <w:vAlign w:val="bottom"/>
          </w:tcPr>
          <w:p>
            <w:pPr>
              <w:spacing w:after="0"/>
              <w:rPr>
                <w:sz w:val="21"/>
                <w:szCs w:val="21"/>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$1,655,000</w:t>
            </w: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$(667,222)</w:t>
            </w:r>
          </w:p>
        </w:tc>
        <w:tc>
          <w:tcPr>
            <w:tcW w:w="12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$987,778</w:t>
            </w:r>
          </w:p>
        </w:tc>
      </w:tr>
      <w:tr>
        <w:trPr>
          <w:trHeight w:val="390"/>
        </w:trPr>
        <w:tc>
          <w:tcPr>
            <w:tcW w:w="6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intangible assets balance as of December 31, 2025 is reflected below (in thousands):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Carrying</w:t>
            </w:r>
          </w:p>
        </w:tc>
      </w:tr>
      <w:tr>
        <w:trPr>
          <w:trHeight w:val="238"/>
        </w:trPr>
        <w:tc>
          <w:tcPr>
            <w:tcW w:w="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8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16-18</w:t>
            </w:r>
          </w:p>
        </w:tc>
        <w:tc>
          <w:tcPr>
            <w:tcW w:w="13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1,324,130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(624,609)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699,521</w:t>
            </w: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Acquired technologies</w:t>
            </w:r>
          </w:p>
        </w:tc>
        <w:tc>
          <w:tcPr>
            <w:tcW w:w="122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9"/>
              </w:rPr>
              <w:t>7-8</w:t>
            </w:r>
          </w:p>
        </w:tc>
        <w:tc>
          <w:tcPr>
            <w:tcW w:w="1380" w:type="dxa"/>
            <w:vAlign w:val="bottom"/>
            <w:gridSpan w:val="4"/>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139,100</w:t>
            </w: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(19,473)</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119,627</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w:t>
            </w:r>
          </w:p>
        </w:tc>
        <w:tc>
          <w:tcPr>
            <w:tcW w:w="12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88"/>
              </w:rPr>
              <w:t>5</w:t>
            </w:r>
          </w:p>
        </w:tc>
        <w:tc>
          <w:tcPr>
            <w:tcW w:w="138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color w:val="auto"/>
                <w:w w:val="88"/>
              </w:rPr>
              <w:t>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1,464,530</w:t>
            </w:r>
          </w:p>
        </w:tc>
        <w:tc>
          <w:tcPr>
            <w:tcW w:w="160" w:type="dxa"/>
            <w:vAlign w:val="bottom"/>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(644,342)</w:t>
            </w:r>
          </w:p>
        </w:tc>
        <w:tc>
          <w:tcPr>
            <w:tcW w:w="1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820,188</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Trademarks—indefinite life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190,470</w:t>
            </w:r>
          </w:p>
        </w:tc>
        <w:tc>
          <w:tcPr>
            <w:tcW w:w="10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1,655,000</w:t>
            </w:r>
          </w:p>
        </w:tc>
        <w:tc>
          <w:tcPr>
            <w:tcW w:w="16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(644,342)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1,010,658</w:t>
            </w:r>
          </w:p>
        </w:tc>
        <w:tc>
          <w:tcPr>
            <w:tcW w:w="100" w:type="dxa"/>
            <w:vAlign w:val="bottom"/>
            <w:shd w:val="clear" w:color="auto" w:fill="CFF0FC"/>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5328285</wp:posOffset>
            </wp:positionH>
            <wp:positionV relativeFrom="paragraph">
              <wp:posOffset>-2133600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-2116455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-2133600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-2116455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596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intangible assets was $22.9 million and $22.9 million for the three months ended March 31, 2026 and 2025, respectively.</w:t>
      </w:r>
    </w:p>
    <w:p>
      <w:pPr>
        <w:spacing w:after="0" w:line="117" w:lineRule="exact"/>
        <w:rPr>
          <w:sz w:val="20"/>
          <w:szCs w:val="20"/>
          <w:color w:val="auto"/>
        </w:rPr>
      </w:pPr>
    </w:p>
    <w:p>
      <w:pPr>
        <w:jc w:val="both"/>
        <w:ind w:left="520" w:right="20"/>
        <w:spacing w:after="0" w:line="282" w:lineRule="auto"/>
        <w:rPr>
          <w:sz w:val="20"/>
          <w:szCs w:val="20"/>
          <w:color w:val="auto"/>
        </w:rPr>
      </w:pPr>
      <w:r>
        <w:rPr>
          <w:rFonts w:ascii="Times New Roman" w:cs="Times New Roman" w:eastAsia="Times New Roman" w:hAnsi="Times New Roman"/>
          <w:sz w:val="18"/>
          <w:szCs w:val="18"/>
          <w:color w:val="auto"/>
        </w:rPr>
        <w:t>Future amortization expense for the remainder of the year ended December 31, 2026 and the following four years ended December 31 and thereafter for intangible assets as of March 31, 2026 is as follows (in thousands):</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Years Ending December 31: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68,640</w:t>
            </w:r>
          </w:p>
        </w:tc>
      </w:tr>
      <w:tr>
        <w:trPr>
          <w:trHeight w:val="216"/>
        </w:trPr>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91,520</w:t>
            </w:r>
          </w:p>
        </w:tc>
      </w:tr>
      <w:tr>
        <w:trPr>
          <w:trHeight w:val="216"/>
        </w:trPr>
        <w:tc>
          <w:tcPr>
            <w:tcW w:w="580" w:type="dxa"/>
            <w:vAlign w:val="bottom"/>
          </w:tcPr>
          <w:p>
            <w:pPr>
              <w:spacing w:after="0"/>
              <w:rPr>
                <w:sz w:val="18"/>
                <w:szCs w:val="18"/>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91,520</w:t>
            </w:r>
          </w:p>
        </w:tc>
      </w:tr>
      <w:tr>
        <w:trPr>
          <w:trHeight w:val="216"/>
        </w:trPr>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90,892</w:t>
            </w:r>
          </w:p>
        </w:tc>
      </w:tr>
      <w:tr>
        <w:trPr>
          <w:trHeight w:val="216"/>
        </w:trPr>
        <w:tc>
          <w:tcPr>
            <w:tcW w:w="580" w:type="dxa"/>
            <w:vAlign w:val="bottom"/>
          </w:tcPr>
          <w:p>
            <w:pPr>
              <w:spacing w:after="0"/>
              <w:rPr>
                <w:sz w:val="18"/>
                <w:szCs w:val="18"/>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9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90,575</w:t>
            </w:r>
          </w:p>
        </w:tc>
      </w:tr>
      <w:tr>
        <w:trPr>
          <w:trHeight w:val="216"/>
        </w:trPr>
        <w:tc>
          <w:tcPr>
            <w:tcW w:w="5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364,161</w:t>
            </w:r>
          </w:p>
        </w:tc>
      </w:tr>
      <w:tr>
        <w:trPr>
          <w:trHeight w:val="20"/>
        </w:trPr>
        <w:tc>
          <w:tcPr>
            <w:tcW w:w="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2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9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797,308</w:t>
            </w:r>
          </w:p>
        </w:tc>
      </w:tr>
      <w:tr>
        <w:trPr>
          <w:trHeight w:val="628"/>
        </w:trPr>
        <w:tc>
          <w:tcPr>
            <w:tcW w:w="580" w:type="dxa"/>
            <w:vAlign w:val="bottom"/>
          </w:tcPr>
          <w:p>
            <w:pPr>
              <w:spacing w:after="0"/>
              <w:rPr>
                <w:sz w:val="24"/>
                <w:szCs w:val="24"/>
                <w:color w:val="auto"/>
              </w:rPr>
            </w:pPr>
          </w:p>
        </w:tc>
        <w:tc>
          <w:tcPr>
            <w:tcW w:w="2840" w:type="dxa"/>
            <w:vAlign w:val="bottom"/>
            <w:tcBorders>
              <w:top w:val="single" w:sz="8" w:color="CFF0FC"/>
            </w:tcBorders>
          </w:tcPr>
          <w:p>
            <w:pPr>
              <w:spacing w:after="0"/>
              <w:rPr>
                <w:sz w:val="24"/>
                <w:szCs w:val="24"/>
                <w:color w:val="auto"/>
              </w:rPr>
            </w:pPr>
          </w:p>
        </w:tc>
        <w:tc>
          <w:tcPr>
            <w:tcW w:w="5920" w:type="dxa"/>
            <w:vAlign w:val="bottom"/>
            <w:tcBorders>
              <w:top w:val="single" w:sz="8" w:color="CFF0FC"/>
            </w:tcBorders>
          </w:tcPr>
          <w:p>
            <w:pPr>
              <w:jc w:val="right"/>
              <w:ind w:right="3530"/>
              <w:spacing w:after="0"/>
              <w:rPr>
                <w:sz w:val="20"/>
                <w:szCs w:val="20"/>
                <w:color w:val="auto"/>
              </w:rPr>
            </w:pPr>
            <w:r>
              <w:rPr>
                <w:rFonts w:ascii="Times New Roman" w:cs="Times New Roman" w:eastAsia="Times New Roman" w:hAnsi="Times New Roman"/>
                <w:sz w:val="18"/>
                <w:szCs w:val="18"/>
                <w:color w:val="auto"/>
              </w:rPr>
              <w:t>17</w:t>
            </w:r>
          </w:p>
        </w:tc>
        <w:tc>
          <w:tcPr>
            <w:tcW w:w="6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-933450</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-916305</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7" w:name="page18"/>
    <w:bookmarkEnd w:id="17"/>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as of March 31, 2026 and December 31, 2025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30,776</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55,292</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Sales tax</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agreement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Royalties and licenses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Pr>
          <w:p>
            <w:pPr>
              <w:spacing w:after="0"/>
              <w:rPr>
                <w:sz w:val="18"/>
                <w:szCs w:val="18"/>
                <w:color w:val="auto"/>
              </w:rPr>
            </w:pP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insurance benefits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w:t>
            </w:r>
          </w:p>
        </w:tc>
        <w:tc>
          <w:tcPr>
            <w:tcW w:w="100" w:type="dxa"/>
            <w:vAlign w:val="bottom"/>
            <w:shd w:val="clear" w:color="auto" w:fill="CFF0FC"/>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8"/>
                <w:szCs w:val="18"/>
                <w:color w:val="auto"/>
              </w:rPr>
            </w:pPr>
          </w:p>
        </w:tc>
      </w:tr>
      <w:tr>
        <w:trPr>
          <w:trHeight w:val="216"/>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80,897</w:t>
            </w:r>
          </w:p>
        </w:tc>
        <w:tc>
          <w:tcPr>
            <w:tcW w:w="100" w:type="dxa"/>
            <w:vAlign w:val="bottom"/>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liabilities as of March 31, 2026 and December 31, 2025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7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payable—non-current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interest rate swaps</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revenue—non-current</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8"/>
                <w:szCs w:val="18"/>
                <w:color w:val="auto"/>
              </w:rPr>
            </w:pPr>
          </w:p>
        </w:tc>
      </w:tr>
      <w:tr>
        <w:trPr>
          <w:trHeight w:val="249"/>
        </w:trPr>
        <w:tc>
          <w:tcPr>
            <w:tcW w:w="7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liabilities</w:t>
            </w: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13,417</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-25400</wp:posOffset>
            </wp:positionV>
            <wp:extent cx="596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59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121" w:lineRule="exact"/>
        <w:rPr>
          <w:rFonts w:ascii="Times New Roman" w:cs="Times New Roman" w:eastAsia="Times New Roman" w:hAnsi="Times New Roman"/>
          <w:sz w:val="18"/>
          <w:szCs w:val="18"/>
          <w:b w:val="1"/>
          <w:bCs w:val="1"/>
          <w:color w:val="auto"/>
        </w:rPr>
      </w:pPr>
    </w:p>
    <w:p>
      <w:pPr>
        <w:ind w:left="520" w:right="7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21, 2021, CCC Intelligent Solutions Inc., an indirect wholly owned subsidiary of the Company, together with certain of the Company’s subsidiaries acting as guarantors entered into a credit agreement (as amended, the “2021 Credit Agreement”).</w:t>
      </w:r>
    </w:p>
    <w:p>
      <w:pPr>
        <w:spacing w:after="0" w:line="51" w:lineRule="exact"/>
        <w:rPr>
          <w:rFonts w:ascii="Times New Roman" w:cs="Times New Roman" w:eastAsia="Times New Roman" w:hAnsi="Times New Roman"/>
          <w:sz w:val="18"/>
          <w:szCs w:val="18"/>
          <w:b w:val="1"/>
          <w:bCs w:val="1"/>
          <w:color w:val="auto"/>
        </w:rPr>
      </w:pPr>
    </w:p>
    <w:p>
      <w:pPr>
        <w:ind w:left="52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2021 Credit Agreement </w:t>
      </w:r>
      <w:r>
        <w:rPr>
          <w:rFonts w:ascii="Times New Roman" w:cs="Times New Roman" w:eastAsia="Times New Roman" w:hAnsi="Times New Roman"/>
          <w:sz w:val="18"/>
          <w:szCs w:val="18"/>
          <w:color w:val="auto"/>
        </w:rPr>
        <w:t>— The 2021 Credit Agreement originally consisted of an $800.0 million term loan, the proceeds of which, with cash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were used to repay all outstanding borrowings under the Company’s previous credit agreement. The 2021 Credit Agreement also includes a revolving credit facility (“2021 Revolving Credit Facility”) for an aggregate principal amount of $250.0 million. The 2021 Revolving Credit Facility has a sublimit of $75.0 million for letters of credit.</w:t>
      </w:r>
    </w:p>
    <w:p>
      <w:pPr>
        <w:spacing w:after="0" w:line="7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2024 Refinancing </w:t>
      </w:r>
      <w:r>
        <w:rPr>
          <w:rFonts w:ascii="Times New Roman" w:cs="Times New Roman" w:eastAsia="Times New Roman" w:hAnsi="Times New Roman"/>
          <w:sz w:val="18"/>
          <w:szCs w:val="18"/>
          <w:color w:val="auto"/>
        </w:rPr>
        <w:t>— In September 2024, the Company entered into Amendment No. 2 to the 2021 Credit Agreement (the “Second Amendment”) to</w:t>
      </w:r>
    </w:p>
    <w:p>
      <w:pPr>
        <w:spacing w:after="0" w:line="29" w:lineRule="exact"/>
        <w:rPr>
          <w:rFonts w:ascii="Times New Roman" w:cs="Times New Roman" w:eastAsia="Times New Roman" w:hAnsi="Times New Roman"/>
          <w:sz w:val="18"/>
          <w:szCs w:val="18"/>
          <w:b w:val="1"/>
          <w:bCs w:val="1"/>
          <w:color w:val="auto"/>
        </w:rPr>
      </w:pPr>
    </w:p>
    <w:p>
      <w:pPr>
        <w:ind w:left="520"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remove the secured overnight financing rate (“SOFR”) credit adjustment applicable to the 2021 Revolving Credit Facility and (ii) reduce the applicable interest rate for the 2021 Revolving Credit Facility by 0.25%. Additionally, the maturity date for the 2021 Revolving Credit Facility was extended to September 23, 2029, subject to a springing maturity date of June 22, 2028 if greater than $234.0 million of the initial term loan remains outstanding as of such date.</w:t>
      </w:r>
    </w:p>
    <w:p>
      <w:pPr>
        <w:spacing w:after="0" w:line="81" w:lineRule="exact"/>
        <w:rPr>
          <w:sz w:val="20"/>
          <w:szCs w:val="20"/>
          <w:color w:val="auto"/>
        </w:rPr>
      </w:pPr>
    </w:p>
    <w:p>
      <w:pPr>
        <w:ind w:left="520" w:right="20"/>
        <w:spacing w:after="0" w:line="266" w:lineRule="auto"/>
        <w:rPr>
          <w:sz w:val="20"/>
          <w:szCs w:val="20"/>
          <w:color w:val="auto"/>
        </w:rPr>
      </w:pPr>
      <w:r>
        <w:rPr>
          <w:rFonts w:ascii="Times New Roman" w:cs="Times New Roman" w:eastAsia="Times New Roman" w:hAnsi="Times New Roman"/>
          <w:sz w:val="18"/>
          <w:szCs w:val="18"/>
          <w:color w:val="auto"/>
        </w:rPr>
        <w:t>At the time of entering into the 2021 Credit Agreement, the Company incurred $3.1 million in financing costs related to the 2021 Revolving Credit Facility. The Company incurred $0.7 million in financing costs related to the Second Amendment. These costs were recorded to a deferred financing fees asset account and are being amortized to interest expense over the term of the 2021 Revolving Credit Facility.</w:t>
      </w:r>
    </w:p>
    <w:p>
      <w:pPr>
        <w:spacing w:after="0" w:line="66"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2025 Additional Borrowing and Refinancing </w:t>
      </w:r>
      <w:r>
        <w:rPr>
          <w:rFonts w:ascii="Times New Roman" w:cs="Times New Roman" w:eastAsia="Times New Roman" w:hAnsi="Times New Roman"/>
          <w:sz w:val="18"/>
          <w:szCs w:val="18"/>
          <w:color w:val="auto"/>
        </w:rPr>
        <w:t>— On January 6, 2025, in conjunction with the acquisition of EvolutionIQ (Note 3),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Amendment No.3 to the 2021 Credit Agreement (the “Third Amendment”) that provided the Company with incremental term loans in an aggregate principal amount of $225.0 million (the “Incremental Term Loans”). Immediately after the Third Amendment, the Incremental Term Loans were repayable in quarterly installments in an amount equal to 0.25% of the original principal amount, with the balance payable at maturity, September 21, 2028.</w:t>
      </w:r>
    </w:p>
    <w:p>
      <w:pPr>
        <w:spacing w:after="0" w:line="77"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Immediately after the Third Amendment, the interest rate per annum applicable to the Incremental Term Loans were based on a fluctuating rate of interest, determined by the Company’s leverage ratio, as defined in the 2021 Credit Agreement. In connection with the Fourth Amendment (as defined below), the Incremental Term Loans were refinanced together with other term loans outlined in the following paragraphs.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left="3"/>
        <w:spacing w:after="0"/>
        <w:rPr>
          <w:sz w:val="20"/>
          <w:szCs w:val="20"/>
          <w:color w:val="auto"/>
        </w:rPr>
      </w:pPr>
      <w:r>
        <w:rPr>
          <w:rFonts w:ascii="Times New Roman" w:cs="Times New Roman" w:eastAsia="Times New Roman" w:hAnsi="Times New Roman"/>
          <w:sz w:val="18"/>
          <w:szCs w:val="18"/>
          <w:color w:val="auto"/>
        </w:rPr>
        <w:t>On January 23, 2025, the Company entered into Amendment No.4 (the “Fourth Amendment”) to the 2021 Credit Agreement.</w:t>
      </w:r>
    </w:p>
    <w:p>
      <w:pPr>
        <w:spacing w:after="0" w:line="117" w:lineRule="exact"/>
        <w:rPr>
          <w:sz w:val="20"/>
          <w:szCs w:val="20"/>
          <w:color w:val="auto"/>
        </w:rPr>
      </w:pPr>
    </w:p>
    <w:p>
      <w:pPr>
        <w:ind w:left="3" w:right="240"/>
        <w:spacing w:after="0" w:line="258" w:lineRule="auto"/>
        <w:rPr>
          <w:sz w:val="20"/>
          <w:szCs w:val="20"/>
          <w:color w:val="auto"/>
        </w:rPr>
      </w:pPr>
      <w:r>
        <w:rPr>
          <w:rFonts w:ascii="Times New Roman" w:cs="Times New Roman" w:eastAsia="Times New Roman" w:hAnsi="Times New Roman"/>
          <w:sz w:val="18"/>
          <w:szCs w:val="18"/>
          <w:color w:val="auto"/>
        </w:rPr>
        <w:t>Pursuant to the terms of the Fourth Amendment, (i) the Company incurred incremental term loans in an aggregate principal amount of $225.0 million, which were used to refinance certain outstanding incremental term loans (including the Incremental Term Loans), (ii) the maturity of all term loans under the 2021 Credit Agreement was extended to January 23, 2032, (iii) the credit spread adjustment applicable to SOFR loans under the 2021 Credit Agreement was removed, and (iv) the interest rate margin applicable to all term loans under the 2021 Credit Agreement was removed.</w:t>
      </w:r>
    </w:p>
    <w:p>
      <w:pPr>
        <w:spacing w:after="0" w:line="7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On December 12, 2025, the Company entered into Amendment No.5 to the 2021 Credit Agreement (the “Fifth Amendment”).</w:t>
      </w:r>
    </w:p>
    <w:p>
      <w:pPr>
        <w:spacing w:after="0" w:line="117" w:lineRule="exact"/>
        <w:rPr>
          <w:sz w:val="20"/>
          <w:szCs w:val="20"/>
          <w:color w:val="auto"/>
        </w:rPr>
      </w:pPr>
    </w:p>
    <w:p>
      <w:pPr>
        <w:ind w:left="3" w:right="260"/>
        <w:spacing w:after="0" w:line="282" w:lineRule="auto"/>
        <w:rPr>
          <w:sz w:val="20"/>
          <w:szCs w:val="20"/>
          <w:color w:val="auto"/>
        </w:rPr>
      </w:pPr>
      <w:r>
        <w:rPr>
          <w:rFonts w:ascii="Times New Roman" w:cs="Times New Roman" w:eastAsia="Times New Roman" w:hAnsi="Times New Roman"/>
          <w:sz w:val="18"/>
          <w:szCs w:val="18"/>
          <w:color w:val="auto"/>
        </w:rPr>
        <w:t>Pursuant to the terms of the Fifth Amendment, the Company incurred incremental term loans in an aggregate principal amount of $300.0 million, which were used to fund the 2025 Accelerated Share Repurchase (“ASR”) program (Note 17).</w:t>
      </w:r>
    </w:p>
    <w:p>
      <w:pPr>
        <w:spacing w:after="0" w:line="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All other terms and conditions within the Company’s 2021 Credit Agreement were unchanged as part of the Amendments.</w:t>
      </w:r>
    </w:p>
    <w:p>
      <w:pPr>
        <w:spacing w:after="0" w:line="117" w:lineRule="exact"/>
        <w:rPr>
          <w:sz w:val="20"/>
          <w:szCs w:val="20"/>
          <w:color w:val="auto"/>
        </w:rPr>
      </w:pPr>
    </w:p>
    <w:p>
      <w:pPr>
        <w:jc w:val="both"/>
        <w:ind w:left="3"/>
        <w:spacing w:after="0" w:line="266" w:lineRule="auto"/>
        <w:rPr>
          <w:sz w:val="20"/>
          <w:szCs w:val="20"/>
          <w:color w:val="auto"/>
        </w:rPr>
      </w:pPr>
      <w:r>
        <w:rPr>
          <w:rFonts w:ascii="Times New Roman" w:cs="Times New Roman" w:eastAsia="Times New Roman" w:hAnsi="Times New Roman"/>
          <w:sz w:val="18"/>
          <w:szCs w:val="18"/>
          <w:color w:val="auto"/>
        </w:rPr>
        <w:t>Upon execution of the Fifth Amendment, the Company had outstanding borrowings under all term loans under the 2021 Credit Agreement of $1,291 million (the “Term Loan”) and a revolving credit facility for an aggregate principal amount of $250.0 million (the “2021 Revolving Credit Facility” and together with the Term Loan, the “2021 Credit Facilities”).</w:t>
      </w:r>
    </w:p>
    <w:p>
      <w:pPr>
        <w:spacing w:after="0" w:line="68" w:lineRule="exact"/>
        <w:rPr>
          <w:sz w:val="20"/>
          <w:szCs w:val="20"/>
          <w:color w:val="auto"/>
        </w:rPr>
      </w:pPr>
    </w:p>
    <w:p>
      <w:pPr>
        <w:ind w:left="3" w:right="300"/>
        <w:spacing w:after="0" w:line="266" w:lineRule="auto"/>
        <w:rPr>
          <w:sz w:val="20"/>
          <w:szCs w:val="20"/>
          <w:color w:val="auto"/>
        </w:rPr>
      </w:pPr>
      <w:r>
        <w:rPr>
          <w:rFonts w:ascii="Times New Roman" w:cs="Times New Roman" w:eastAsia="Times New Roman" w:hAnsi="Times New Roman"/>
          <w:sz w:val="18"/>
          <w:szCs w:val="18"/>
          <w:color w:val="auto"/>
        </w:rPr>
        <w:t>The Company incurred $6.5 million in costs related to the Third and Fourth Amendments, recorded as contra debt. The Company incurred $1.2 million in costs related to the Fifth Amendment, recorded as contra debt. These costs are being amortized to interest expense over the term of the Term Loan using the effective interest method.</w:t>
      </w:r>
    </w:p>
    <w:p>
      <w:pPr>
        <w:spacing w:after="0" w:line="68" w:lineRule="exact"/>
        <w:rPr>
          <w:sz w:val="20"/>
          <w:szCs w:val="20"/>
          <w:color w:val="auto"/>
        </w:rPr>
      </w:pPr>
    </w:p>
    <w:p>
      <w:pPr>
        <w:ind w:left="3" w:right="100"/>
        <w:spacing w:after="0" w:line="255" w:lineRule="auto"/>
        <w:rPr>
          <w:sz w:val="20"/>
          <w:szCs w:val="20"/>
          <w:color w:val="auto"/>
        </w:rPr>
      </w:pPr>
      <w:r>
        <w:rPr>
          <w:rFonts w:ascii="Times New Roman" w:cs="Times New Roman" w:eastAsia="Times New Roman" w:hAnsi="Times New Roman"/>
          <w:sz w:val="18"/>
          <w:szCs w:val="18"/>
          <w:color w:val="auto"/>
        </w:rPr>
        <w:t>The Term Loan requires quarterly principal payments of $3.3 million until December 31, 2031, with the remaining outstanding principal amount required to be paid on the maturity date, January 23, 2032. If the Company’s leverage ratio, as defined in the 2021 Credit Agreement is greater than 3.5, the Term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December 31, 2025, the Company’s leverage ratio did not exceed the 3.5 threshold and the Company was not subject to the annual excess cash flow calculation, and as such, was not required to make a prepayment of principal.</w:t>
      </w:r>
    </w:p>
    <w:p>
      <w:pPr>
        <w:spacing w:after="0" w:line="81" w:lineRule="exact"/>
        <w:rPr>
          <w:sz w:val="20"/>
          <w:szCs w:val="20"/>
          <w:color w:val="auto"/>
        </w:rPr>
      </w:pPr>
    </w:p>
    <w:p>
      <w:pPr>
        <w:ind w:left="3" w:right="10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amount outstanding on the Term Loan is $1,287.7 million and $1,291.0 million, respectively, of which $13.0 million is classified as current in the accompanying condensed consolidated balance sheets.</w:t>
      </w:r>
    </w:p>
    <w:p>
      <w:pPr>
        <w:spacing w:after="0" w:line="54" w:lineRule="exact"/>
        <w:rPr>
          <w:sz w:val="20"/>
          <w:szCs w:val="20"/>
          <w:color w:val="auto"/>
        </w:rPr>
      </w:pPr>
    </w:p>
    <w:p>
      <w:pPr>
        <w:ind w:left="3" w:right="100"/>
        <w:spacing w:after="0" w:line="282" w:lineRule="auto"/>
        <w:rPr>
          <w:sz w:val="20"/>
          <w:szCs w:val="20"/>
          <w:color w:val="auto"/>
        </w:rPr>
      </w:pPr>
      <w:r>
        <w:rPr>
          <w:rFonts w:ascii="Times New Roman" w:cs="Times New Roman" w:eastAsia="Times New Roman" w:hAnsi="Times New Roman"/>
          <w:sz w:val="18"/>
          <w:szCs w:val="18"/>
          <w:color w:val="auto"/>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p>
    <w:p>
      <w:pPr>
        <w:spacing w:after="0" w:line="54" w:lineRule="exact"/>
        <w:rPr>
          <w:sz w:val="20"/>
          <w:szCs w:val="20"/>
          <w:color w:val="auto"/>
        </w:rPr>
      </w:pPr>
    </w:p>
    <w:p>
      <w:pPr>
        <w:ind w:left="3" w:right="80"/>
        <w:spacing w:after="0" w:line="282" w:lineRule="auto"/>
        <w:rPr>
          <w:sz w:val="20"/>
          <w:szCs w:val="20"/>
          <w:color w:val="auto"/>
        </w:rPr>
      </w:pPr>
      <w:r>
        <w:rPr>
          <w:rFonts w:ascii="Times New Roman" w:cs="Times New Roman" w:eastAsia="Times New Roman" w:hAnsi="Times New Roman"/>
          <w:sz w:val="18"/>
          <w:szCs w:val="18"/>
          <w:color w:val="auto"/>
        </w:rPr>
        <w:t>From and after the Fourth Amendment, the interest rate per annum applicable to the Term Loan is based on a fluctuating rate of interest equal to the sum of an applicable rate and, at the Company’s election from time to time, either:</w:t>
      </w:r>
    </w:p>
    <w:p>
      <w:pPr>
        <w:spacing w:after="0" w:line="54" w:lineRule="exact"/>
        <w:rPr>
          <w:sz w:val="20"/>
          <w:szCs w:val="20"/>
          <w:color w:val="auto"/>
        </w:rPr>
      </w:pPr>
    </w:p>
    <w:p>
      <w:pPr>
        <w:ind w:left="3" w:right="80" w:hanging="3"/>
        <w:spacing w:after="0" w:line="261"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 the case of base rate loans, and 2.00%, in the case of SOFR (or the Euro Interbank Offer Rate (“EURIBOR”) or the Sterling Overnight Indexed Average (“SONIA”)) loans, if S&amp;P and Moody’s Debt First Lien Leverage Ratio Ratings (as defined in the Credit Agreement) are below BB- (with a stable outlook) or below Ba3 (with a stable outlook) (or if for any reason this category does not apply, including if the Borrower has only one Debt Rating or the Borrower does not have any Debt Rating); or</w:t>
      </w:r>
    </w:p>
    <w:p>
      <w:pPr>
        <w:spacing w:after="0" w:line="71" w:lineRule="exact"/>
        <w:rPr>
          <w:rFonts w:ascii="Times New Roman" w:cs="Times New Roman" w:eastAsia="Times New Roman" w:hAnsi="Times New Roman"/>
          <w:sz w:val="18"/>
          <w:szCs w:val="18"/>
          <w:color w:val="auto"/>
        </w:rPr>
      </w:pPr>
    </w:p>
    <w:p>
      <w:pPr>
        <w:ind w:left="3" w:right="360" w:hanging="3"/>
        <w:spacing w:after="0" w:line="282"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0.75%, in the case of base rate loans, and 1.75%, in the case of SOFR (or EURIBOR or SONIA) loans, if S&amp;P and Moody’s Debt First Lien Leverage Ratio Ratings are both BB- (with a stable outlook) or better and Ba3 (with a stable outlook) or better.</w:t>
      </w:r>
    </w:p>
    <w:p>
      <w:pPr>
        <w:spacing w:after="0" w:line="54" w:lineRule="exact"/>
        <w:rPr>
          <w:sz w:val="20"/>
          <w:szCs w:val="20"/>
          <w:color w:val="auto"/>
        </w:rPr>
      </w:pPr>
    </w:p>
    <w:p>
      <w:pPr>
        <w:jc w:val="both"/>
        <w:ind w:left="3" w:right="60"/>
        <w:spacing w:after="0" w:line="266" w:lineRule="auto"/>
        <w:rPr>
          <w:sz w:val="20"/>
          <w:szCs w:val="20"/>
          <w:color w:val="auto"/>
        </w:rPr>
      </w:pPr>
      <w:r>
        <w:rPr>
          <w:rFonts w:ascii="Times New Roman" w:cs="Times New Roman" w:eastAsia="Times New Roman" w:hAnsi="Times New Roman"/>
          <w:sz w:val="18"/>
          <w:szCs w:val="18"/>
          <w:color w:val="auto"/>
        </w:rPr>
        <w:t>Prior to the Fourth Amendment, the interest rate per annum applicable to the loans was based on a fluctuating rate of interest equal to the sum of an applicable rate and term SOFR (or EURIBOR or SONIA) with a term, as selected by the Company, of one, three or six months (subject to (x) in the case of term loans, a 0.50% per annum floor and (y) in the case of revolving loans, a 0.00% per annum floor).</w:t>
      </w:r>
    </w:p>
    <w:p>
      <w:pPr>
        <w:spacing w:after="0" w:line="6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 quarterly commitment fee of up to 0.50% is payable on the unused portion of the 2021 Revolving Credit Facility.</w:t>
      </w:r>
    </w:p>
    <w:p>
      <w:pPr>
        <w:spacing w:after="0" w:line="117" w:lineRule="exact"/>
        <w:rPr>
          <w:sz w:val="20"/>
          <w:szCs w:val="20"/>
          <w:color w:val="auto"/>
        </w:rPr>
      </w:pPr>
    </w:p>
    <w:p>
      <w:pPr>
        <w:ind w:left="3"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weighted-average interest rate on the outstanding borrowings under the initial term loan was 5.8% and 6.1%, respectively.</w:t>
      </w:r>
    </w:p>
    <w:p>
      <w:pPr>
        <w:spacing w:after="0" w:line="54" w:lineRule="exact"/>
        <w:rPr>
          <w:sz w:val="20"/>
          <w:szCs w:val="20"/>
          <w:color w:val="auto"/>
        </w:rPr>
      </w:pPr>
    </w:p>
    <w:p>
      <w:pPr>
        <w:ind w:left="3" w:right="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outstanding standby letters of credit for $1.0 million and $1.1 million, respectively, which reduces the amount available to be borrowed under the 2021 Revolving Credit Facility. As of March 31, 2026 and December 31, 2025, $249.0 million and $248.9 million, respectively, was available to be borrowed.</w:t>
      </w:r>
    </w:p>
    <w:p>
      <w:pPr>
        <w:spacing w:after="0" w:line="176"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19" w:name="page20"/>
    <w:bookmarkEnd w:id="19"/>
    <w:p>
      <w:pPr>
        <w:ind w:left="520" w:right="460"/>
        <w:spacing w:after="0" w:line="266" w:lineRule="auto"/>
        <w:rPr>
          <w:sz w:val="20"/>
          <w:szCs w:val="20"/>
          <w:color w:val="auto"/>
        </w:rPr>
      </w:pPr>
      <w:r>
        <w:rPr>
          <w:rFonts w:ascii="Times New Roman" w:cs="Times New Roman" w:eastAsia="Times New Roman" w:hAnsi="Times New Roman"/>
          <w:sz w:val="18"/>
          <w:szCs w:val="18"/>
          <w:color w:val="auto"/>
        </w:rPr>
        <w:t>Borrowings under the 2021 Credit Agreement are guaranteed by Cypress Holdings Intermediate Holdings II, LLC., and certain of its U.S. subsidiaries by a perfected first priority lien on the stock of CCC Intelligent Solutions Inc., and substantially all of its assets, subject to various limitations and exceptions.</w:t>
      </w:r>
    </w:p>
    <w:p>
      <w:pPr>
        <w:spacing w:after="0" w:line="68"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spacing w:after="0" w:line="72" w:lineRule="exact"/>
        <w:rPr>
          <w:sz w:val="20"/>
          <w:szCs w:val="20"/>
          <w:color w:val="auto"/>
        </w:rPr>
      </w:pPr>
    </w:p>
    <w:p>
      <w:pPr>
        <w:ind w:left="520" w:right="160"/>
        <w:spacing w:after="0" w:line="281" w:lineRule="auto"/>
        <w:rPr>
          <w:sz w:val="20"/>
          <w:szCs w:val="20"/>
          <w:color w:val="auto"/>
        </w:rPr>
      </w:pPr>
      <w:r>
        <w:rPr>
          <w:rFonts w:ascii="Times New Roman" w:cs="Times New Roman" w:eastAsia="Times New Roman" w:hAnsi="Times New Roman"/>
          <w:sz w:val="17"/>
          <w:szCs w:val="17"/>
          <w:color w:val="auto"/>
        </w:rPr>
        <w:t>The terms of the 2021 Credit Agreement include a financial covenant which requires that, at the end of each fiscal quarter, if the aggregate amount of borrowings under the 2021 Revolving Credit Facility exceeds 35% of the aggregate commitments of the Company, the leverage ratio of CCC Intelligent Solutions Inc. and certain of its subsidiaries cannot exceed 6.25 to 1.00. Borrowings under the 2021 Revolving Credit Facility did not exceed 35% of the aggregate commitments and the Company was not subject to the leverage test as of March 31, 2026 and December 31, 2025.</w:t>
      </w:r>
    </w:p>
    <w:p>
      <w:pPr>
        <w:spacing w:after="0" w:line="56" w:lineRule="exact"/>
        <w:rPr>
          <w:sz w:val="20"/>
          <w:szCs w:val="20"/>
          <w:color w:val="auto"/>
        </w:rPr>
      </w:pPr>
    </w:p>
    <w:tbl>
      <w:tblPr>
        <w:tblLayout w:type="fixed"/>
        <w:tblInd w:w="520" w:type="dxa"/>
        <w:tblCellMar>
          <w:top w:w="0" w:type="dxa"/>
          <w:left w:w="0" w:type="dxa"/>
          <w:bottom w:w="0" w:type="dxa"/>
          <w:right w:w="0" w:type="dxa"/>
        </w:tblCellMar>
      </w:tblPr>
      <w:tr>
        <w:trPr>
          <w:trHeight w:val="212"/>
        </w:trPr>
        <w:tc>
          <w:tcPr>
            <w:tcW w:w="82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w w:val="99"/>
              </w:rPr>
              <w:t>Long-term debt as of March 31, 2026 and December 31, 2025, consists of the following (in thousands):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5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6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w:t>
            </w: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1,287,732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1,290,990</w:t>
            </w:r>
          </w:p>
        </w:tc>
        <w:tc>
          <w:tcPr>
            <w:tcW w:w="100" w:type="dxa"/>
            <w:vAlign w:val="bottom"/>
            <w:shd w:val="clear" w:color="auto" w:fill="CFF0FC"/>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Term Loan—discount</w:t>
            </w:r>
          </w:p>
        </w:tc>
        <w:tc>
          <w:tcPr>
            <w:tcW w:w="15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6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Loan—deferred financing fees</w:t>
            </w:r>
          </w:p>
        </w:tc>
        <w:tc>
          <w:tcPr>
            <w:tcW w:w="15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(11,575)</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(11,994)</w:t>
            </w:r>
          </w:p>
        </w:tc>
      </w:tr>
      <w:tr>
        <w:trPr>
          <w:trHeight w:val="209"/>
        </w:trPr>
        <w:tc>
          <w:tcPr>
            <w:tcW w:w="60" w:type="dxa"/>
            <w:vAlign w:val="bottom"/>
          </w:tcPr>
          <w:p>
            <w:pPr>
              <w:spacing w:after="0"/>
              <w:rPr>
                <w:sz w:val="18"/>
                <w:szCs w:val="18"/>
                <w:color w:val="auto"/>
              </w:rPr>
            </w:pPr>
          </w:p>
        </w:tc>
        <w:tc>
          <w:tcPr>
            <w:tcW w:w="65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Term Loan—Net of discount &amp; fees</w:t>
            </w:r>
          </w:p>
        </w:tc>
        <w:tc>
          <w:tcPr>
            <w:tcW w:w="15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1,275,171</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1,277,974</w:t>
            </w:r>
          </w:p>
        </w:tc>
        <w:tc>
          <w:tcPr>
            <w:tcW w:w="100" w:type="dxa"/>
            <w:vAlign w:val="bottom"/>
            <w:tcBorders>
              <w:top w:val="single" w:sz="8" w:color="CFF0FC"/>
            </w:tcBorders>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5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(13,033)</w:t>
            </w:r>
          </w:p>
        </w:tc>
        <w:tc>
          <w:tcPr>
            <w:tcW w:w="1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(13,033)</w:t>
            </w:r>
          </w:p>
        </w:tc>
      </w:tr>
      <w:tr>
        <w:trPr>
          <w:trHeight w:val="209"/>
        </w:trPr>
        <w:tc>
          <w:tcPr>
            <w:tcW w:w="60" w:type="dxa"/>
            <w:vAlign w:val="bottom"/>
          </w:tcPr>
          <w:p>
            <w:pPr>
              <w:spacing w:after="0"/>
              <w:rPr>
                <w:sz w:val="18"/>
                <w:szCs w:val="18"/>
                <w:color w:val="auto"/>
              </w:rPr>
            </w:pPr>
          </w:p>
        </w:tc>
        <w:tc>
          <w:tcPr>
            <w:tcW w:w="65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long-term debt—Net of current portion</w:t>
            </w:r>
          </w:p>
        </w:tc>
        <w:tc>
          <w:tcPr>
            <w:tcW w:w="1560" w:type="dxa"/>
            <w:vAlign w:val="bottom"/>
            <w:tcBorders>
              <w:top w:val="single" w:sz="8" w:color="auto"/>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1,262,138</w:t>
            </w: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1,264,941</w:t>
            </w:r>
          </w:p>
        </w:tc>
        <w:tc>
          <w:tcPr>
            <w:tcW w:w="100" w:type="dxa"/>
            <w:vAlign w:val="bottom"/>
            <w:tcBorders>
              <w:top w:val="single" w:sz="8" w:color="CFF0FC"/>
            </w:tcBorders>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-462280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ind w:left="520" w:right="260"/>
        <w:spacing w:after="0" w:line="258" w:lineRule="auto"/>
        <w:rPr>
          <w:sz w:val="20"/>
          <w:szCs w:val="20"/>
          <w:color w:val="auto"/>
        </w:rPr>
      </w:pP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—In February 2025, the Company entered into three interest rate swap agreements (the “Swaps”) to reduce its exposure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variability from future cash flows resulting from interest rate risk related to its floating rate long-term debt. Pursuant to the terms of the Swaps, beginning on July 31, 2025, the Company will pay an average fixed interest rate of 3.94% on an aggregate notional amount corresponding to borrowings of $750.0 million in exchange for receipts on the same notional amount at a floating interest rate based on the applicable SOFR at the time of payment. The Swaps expire on July 31, 2027.</w:t>
      </w:r>
    </w:p>
    <w:p>
      <w:pPr>
        <w:spacing w:after="0" w:line="77"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 agreements was estimated using inputs that were observable or that could be corroborated by observable market data and therefore, was classified within Level 2 of the fair value hierarchy as of March 31, 2026. The Company does not designate its interest rate swap agreements as hedging instruments and records the changes in fair value within earnings. As of March 31, 2026, the aggregate fair value of the Swaps was a liability of $3.0 million (see Note 5).</w:t>
      </w:r>
    </w:p>
    <w:p>
      <w:pPr>
        <w:spacing w:after="0" w:line="72" w:lineRule="exact"/>
        <w:rPr>
          <w:sz w:val="20"/>
          <w:szCs w:val="20"/>
          <w:color w:val="auto"/>
        </w:rPr>
      </w:pPr>
    </w:p>
    <w:p>
      <w:pPr>
        <w:jc w:val="both"/>
        <w:ind w:left="520" w:right="100"/>
        <w:spacing w:after="0" w:line="282" w:lineRule="auto"/>
        <w:rPr>
          <w:sz w:val="20"/>
          <w:szCs w:val="20"/>
          <w:color w:val="auto"/>
        </w:rPr>
      </w:pPr>
      <w:r>
        <w:rPr>
          <w:rFonts w:ascii="Times New Roman" w:cs="Times New Roman" w:eastAsia="Times New Roman" w:hAnsi="Times New Roman"/>
          <w:sz w:val="18"/>
          <w:szCs w:val="18"/>
          <w:color w:val="auto"/>
        </w:rPr>
        <w:t>Net cash paid related to the Swaps was $0.5 million for the three months ended March 31, 2026, recorded within other income (expense)-net on the condensed consolidated statement of operations and comprehensive income (loss).</w:t>
      </w:r>
    </w:p>
    <w:p>
      <w:pPr>
        <w:spacing w:after="0" w:line="52" w:lineRule="exact"/>
        <w:rPr>
          <w:sz w:val="20"/>
          <w:szCs w:val="20"/>
          <w:color w:val="auto"/>
        </w:rPr>
      </w:pPr>
    </w:p>
    <w:p>
      <w:pPr>
        <w:jc w:val="both"/>
        <w:ind w:left="520" w:right="100"/>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 Caps</w:t>
      </w:r>
      <w:r>
        <w:rPr>
          <w:rFonts w:ascii="Times New Roman" w:cs="Times New Roman" w:eastAsia="Times New Roman" w:hAnsi="Times New Roman"/>
          <w:sz w:val="18"/>
          <w:szCs w:val="18"/>
          <w:color w:val="auto"/>
        </w:rPr>
        <w:t>—In August 2022, the Company entered into two interest rate cap agreements to reduce its exposure to increases in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its floating rate long-term debt. The interest rate cap agreements had an aggregate notional amount of $600.0 million and a one-month SOFR cap rate of 4.00%. The interest rate cap agreements expired in July 2025.</w:t>
      </w:r>
    </w:p>
    <w:p>
      <w:pPr>
        <w:spacing w:after="0" w:line="67"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Cash received related to the interest rate cap agreements was $0.5 million for the three months ended March 31, 2025, recorded within other income (expense)-net on the condensed consolidated statement of operations and comprehensive income (loss).</w:t>
      </w:r>
    </w:p>
    <w:p>
      <w:pPr>
        <w:spacing w:after="0" w:line="374"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121" w:lineRule="exact"/>
        <w:rPr>
          <w:rFonts w:ascii="Times New Roman" w:cs="Times New Roman" w:eastAsia="Times New Roman" w:hAnsi="Times New Roman"/>
          <w:sz w:val="18"/>
          <w:szCs w:val="18"/>
          <w:b w:val="1"/>
          <w:bCs w:val="1"/>
          <w:color w:val="auto"/>
        </w:rPr>
      </w:pPr>
    </w:p>
    <w:p>
      <w:pPr>
        <w:ind w:left="52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12, 2020, the Company entered into a stock purchase agreement and other related documentation (the “Stock Purchase Agreements”) with a third-party investor (the “Investor”) for purchase by the Investor of Series A Preferred Stock in CCCIS Cayman Holdings Limited (“CCC Cayman”), a majority-owned subsidiary of the Company and the parent of the Company’s China subsidiaries. At the closing of the transactions under the Stock Purchase Agreements (the “Close Date”), CCC Cayman issued 1,818 shares of Series A Preferred Stock (the “Preferred Shares”) at $7,854 per share to the Investor for net proceeds of $14.2 million. As of December 31, 2024, on an as-converted basis, the Preferred Shares represented an aggregate 10.0% ownership interest of the issued and outstanding capital stock of CCC Cayman, or 8.6% on a fully-diluted basis.</w:t>
      </w:r>
    </w:p>
    <w:p>
      <w:pPr>
        <w:spacing w:after="0" w:line="79" w:lineRule="exact"/>
        <w:rPr>
          <w:rFonts w:ascii="Times New Roman" w:cs="Times New Roman" w:eastAsia="Times New Roman" w:hAnsi="Times New Roman"/>
          <w:sz w:val="18"/>
          <w:szCs w:val="18"/>
          <w:b w:val="1"/>
          <w:bCs w:val="1"/>
          <w:color w:val="auto"/>
        </w:rPr>
      </w:pPr>
    </w:p>
    <w:p>
      <w:pPr>
        <w:ind w:left="52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Preferred Shares were redeemable upon an actual or deemed redemption event as defined in the Stock Purchase Agreements or at the option of the Investor beginning on the five-year anniversary of the Close Date, if an actual or deemed redemption event has not yet occurred. The redemption price, as defined by the Stock Purchase Agreements, was equal to the original issue price of the Preferred Shares, plus 10.0% compound interest per annum on the Preferred Share issue price, plus any declared but unpaid dividends on the Preferred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The Preferred Shares do not participate in net income or losses.</w:t>
      </w:r>
    </w:p>
    <w:p>
      <w:pPr>
        <w:spacing w:after="0" w:line="117"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As of December 31, 2024, the Investor’s ownership in CCC Cayman was classified in mezzanine equity as a redeemable non-controlling interest, because it was redeemable on an event that was not solely in the control of the Company.</w:t>
      </w:r>
    </w:p>
    <w:p>
      <w:pPr>
        <w:spacing w:after="0" w:line="54"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On March 17, 2025, the Company received a notice of redemption under the Stock Purchase Agreements. Upon receiving the notice of redemption, the shares became mandatorily redeemable and payable by CCC Cayman (without recourse to the Company) and are no longer presented within mezzanine equity as a redeemable non-controlling interest. As of March 31, 2026, the Preferred Shares are recognized as a Payable to Investor within current liabilities on the Company’s condensed consolidated balance sheet.</w:t>
      </w:r>
    </w:p>
    <w:p>
      <w:pPr>
        <w:spacing w:after="0" w:line="72" w:lineRule="exact"/>
        <w:rPr>
          <w:sz w:val="20"/>
          <w:szCs w:val="20"/>
          <w:color w:val="auto"/>
        </w:rPr>
      </w:pPr>
    </w:p>
    <w:p>
      <w:pPr>
        <w:ind w:left="520" w:right="460"/>
        <w:spacing w:after="0" w:line="261" w:lineRule="auto"/>
        <w:rPr>
          <w:sz w:val="20"/>
          <w:szCs w:val="20"/>
          <w:color w:val="auto"/>
        </w:rPr>
      </w:pPr>
      <w:r>
        <w:rPr>
          <w:rFonts w:ascii="Times New Roman" w:cs="Times New Roman" w:eastAsia="Times New Roman" w:hAnsi="Times New Roman"/>
          <w:sz w:val="18"/>
          <w:szCs w:val="18"/>
          <w:color w:val="auto"/>
        </w:rPr>
        <w:t>The activity impacting the redeemable non-controlling interest during the three months ended March 31, 2026 and 2025 is presented below (in thousands):</w:t>
      </w:r>
    </w:p>
    <w:tbl>
      <w:tblPr>
        <w:tblLayout w:type="fixed"/>
        <w:tblInd w:w="580" w:type="dxa"/>
        <w:tblCellMar>
          <w:top w:w="0" w:type="dxa"/>
          <w:left w:w="0" w:type="dxa"/>
          <w:bottom w:w="0" w:type="dxa"/>
          <w:right w:w="0" w:type="dxa"/>
        </w:tblCellMar>
      </w:tblPr>
      <w:tr>
        <w:trPr>
          <w:trHeight w:val="194"/>
        </w:trPr>
        <w:tc>
          <w:tcPr>
            <w:tcW w:w="7560" w:type="dxa"/>
            <w:vAlign w:val="bottom"/>
          </w:tcPr>
          <w:p>
            <w:pPr>
              <w:spacing w:after="0"/>
              <w:rPr>
                <w:sz w:val="16"/>
                <w:szCs w:val="16"/>
                <w:color w:val="auto"/>
              </w:rPr>
            </w:pPr>
          </w:p>
        </w:tc>
        <w:tc>
          <w:tcPr>
            <w:tcW w:w="3100" w:type="dxa"/>
            <w:vAlign w:val="bottom"/>
            <w:gridSpan w:val="6"/>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75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560" w:type="dxa"/>
            <w:vAlign w:val="bottom"/>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80" w:type="dxa"/>
            <w:vAlign w:val="bottom"/>
            <w:shd w:val="clear" w:color="auto" w:fill="CFF0FC"/>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21,679</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Accretion of redeemable non-controlling interest</w:t>
            </w:r>
          </w:p>
        </w:tc>
        <w:tc>
          <w:tcPr>
            <w:tcW w:w="980" w:type="dxa"/>
            <w:vAlign w:val="bottom"/>
          </w:tcPr>
          <w:p>
            <w:pPr>
              <w:spacing w:after="0"/>
              <w:rPr>
                <w:sz w:val="18"/>
                <w:szCs w:val="18"/>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Reclassification of redeemable non-controlling interest</w:t>
            </w:r>
          </w:p>
        </w:tc>
        <w:tc>
          <w:tcPr>
            <w:tcW w:w="980" w:type="dxa"/>
            <w:vAlign w:val="bottom"/>
            <w:shd w:val="clear" w:color="auto" w:fill="CFF0FC"/>
          </w:tcPr>
          <w:p>
            <w:pPr>
              <w:spacing w:after="0"/>
              <w:rPr>
                <w:sz w:val="18"/>
                <w:szCs w:val="18"/>
                <w:color w:val="auto"/>
              </w:rPr>
            </w:pPr>
          </w:p>
        </w:tc>
        <w:tc>
          <w:tcPr>
            <w:tcW w:w="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(22,955)</w:t>
            </w:r>
          </w:p>
        </w:tc>
      </w:tr>
      <w:tr>
        <w:trPr>
          <w:trHeight w:val="20"/>
        </w:trPr>
        <w:tc>
          <w:tcPr>
            <w:tcW w:w="75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-170815</wp:posOffset>
            </wp:positionV>
            <wp:extent cx="596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PAYABLE TO MINORITY INVESTOR</w:t>
      </w:r>
    </w:p>
    <w:p>
      <w:pPr>
        <w:spacing w:after="0" w:line="121" w:lineRule="exact"/>
        <w:rPr>
          <w:rFonts w:ascii="Times New Roman" w:cs="Times New Roman" w:eastAsia="Times New Roman" w:hAnsi="Times New Roman"/>
          <w:sz w:val="18"/>
          <w:szCs w:val="18"/>
          <w:b w:val="1"/>
          <w:bCs w:val="1"/>
          <w:color w:val="auto"/>
        </w:rPr>
      </w:pPr>
    </w:p>
    <w:p>
      <w:pPr>
        <w:ind w:left="52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Investor’s notice of redemption of their Series A Preferred Stock and in accordance with the provisions of the Stock Purchase Agreements (see Note 15), on May 16, 2025, CCC Cayman issued a promissory note (the “Promissory Note”) to the Investor. The obligors under the Promissory Note are CCC Cayman and its subsidiaries, without recourse to the Company.</w:t>
      </w:r>
    </w:p>
    <w:p>
      <w:pPr>
        <w:spacing w:after="0" w:line="67" w:lineRule="exact"/>
        <w:rPr>
          <w:rFonts w:ascii="Times New Roman" w:cs="Times New Roman" w:eastAsia="Times New Roman" w:hAnsi="Times New Roman"/>
          <w:sz w:val="18"/>
          <w:szCs w:val="18"/>
          <w:b w:val="1"/>
          <w:bCs w:val="1"/>
          <w:color w:val="auto"/>
        </w:rPr>
      </w:pPr>
    </w:p>
    <w:p>
      <w:pPr>
        <w:ind w:left="520" w:right="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Promissory Note has an initial principal amount outstanding of $23.4 million, which included accrued interest of $0.4 million. The Promissory Note accrues interest at a rate of 12.0% per annum, compounded daily. All accrued interest is payable in kind and added to the outstanding principal amount. During the three months ended March 31, 2026, the Company recognized $0.8 million of interest expense on the Promissory Note.</w:t>
      </w:r>
    </w:p>
    <w:p>
      <w:pPr>
        <w:spacing w:after="0" w:line="49" w:lineRule="exact"/>
        <w:rPr>
          <w:rFonts w:ascii="Times New Roman" w:cs="Times New Roman" w:eastAsia="Times New Roman" w:hAnsi="Times New Roman"/>
          <w:sz w:val="18"/>
          <w:szCs w:val="18"/>
          <w:b w:val="1"/>
          <w:bCs w:val="1"/>
          <w:color w:val="auto"/>
        </w:rPr>
      </w:pPr>
    </w:p>
    <w:p>
      <w:pPr>
        <w:ind w:left="520" w:right="4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Promissory Note’s maturity date is defined as the date CCC Cayman has available funds and assets, as defined in the Stock Purchase Agreements, that are available and sufficient to pay in full the redemption price for the Investor’s shares of Series A Preferred Stock. The Promissory Note allows for CCC Cayman to prepay, in whole or in part, any outstanding principal or interest prior to the maturity date without penalty.</w:t>
      </w:r>
    </w:p>
    <w:p>
      <w:pPr>
        <w:spacing w:after="0" w:line="7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the total amount outstanding under the Promissory Note was $26.0 million.</w:t>
      </w:r>
    </w:p>
    <w:p>
      <w:pPr>
        <w:spacing w:after="0" w:line="221"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117" w:lineRule="exact"/>
        <w:rPr>
          <w:rFonts w:ascii="Times New Roman" w:cs="Times New Roman" w:eastAsia="Times New Roman" w:hAnsi="Times New Roman"/>
          <w:sz w:val="18"/>
          <w:szCs w:val="18"/>
          <w:b w:val="1"/>
          <w:bCs w:val="1"/>
          <w:color w:val="auto"/>
        </w:rPr>
      </w:pPr>
    </w:p>
    <w:p>
      <w:pPr>
        <w:ind w:left="520" w:right="1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—The Company is authorized to issue up to 100,000,000 shares of undesignated preferred stock with a par value of $0.0001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with such designations, voting and other rights and preferences as may be determined from time to time by the Company’s board of directors. As of March 31, 2026, there were no shares of preferred stock issued or outstanding.</w:t>
      </w:r>
    </w:p>
    <w:p>
      <w:pPr>
        <w:spacing w:after="0" w:line="62" w:lineRule="exact"/>
        <w:rPr>
          <w:rFonts w:ascii="Times New Roman" w:cs="Times New Roman" w:eastAsia="Times New Roman" w:hAnsi="Times New Roman"/>
          <w:sz w:val="18"/>
          <w:szCs w:val="18"/>
          <w:b w:val="1"/>
          <w:bCs w:val="1"/>
          <w:color w:val="auto"/>
        </w:rPr>
      </w:pPr>
    </w:p>
    <w:p>
      <w:pPr>
        <w:ind w:left="520" w:right="2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—The Company is authorized to issue up to 5,000,000,000 shares of common stock with a par value of $0.0001 per share.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common stock is entitled to one vote for each share of common stock held of record by such holder on all matters voted upon by the stockholders, subject to the restrictions set out in the Company’s certificate of incorporation. Holders of common stock are entitled to receive any dividends as may be declared from time to time by the board of directors. Upon a liquidation event, subject to the rights of the holders of any preferred stock issued and outstanding at such time, any distribution shall be made on a pro rata basis to the common stockholders.</w:t>
      </w:r>
    </w:p>
    <w:p>
      <w:pPr>
        <w:spacing w:after="0" w:line="75" w:lineRule="exact"/>
        <w:rPr>
          <w:rFonts w:ascii="Times New Roman" w:cs="Times New Roman" w:eastAsia="Times New Roman" w:hAnsi="Times New Roman"/>
          <w:sz w:val="18"/>
          <w:szCs w:val="18"/>
          <w:b w:val="1"/>
          <w:bCs w:val="1"/>
          <w:color w:val="auto"/>
        </w:rPr>
      </w:pPr>
    </w:p>
    <w:p>
      <w:pPr>
        <w:ind w:left="520" w:right="8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586,695,554 and 605,449,050 shares of common stock issued and outstanding as of March 31, 2026 and December 31, 2025, respectively.</w:t>
      </w:r>
    </w:p>
    <w:p>
      <w:pPr>
        <w:spacing w:after="0" w:line="51" w:lineRule="exact"/>
        <w:rPr>
          <w:rFonts w:ascii="Times New Roman" w:cs="Times New Roman" w:eastAsia="Times New Roman" w:hAnsi="Times New Roman"/>
          <w:sz w:val="18"/>
          <w:szCs w:val="18"/>
          <w:b w:val="1"/>
          <w:bCs w:val="1"/>
          <w:color w:val="auto"/>
        </w:rPr>
      </w:pPr>
    </w:p>
    <w:p>
      <w:pPr>
        <w:ind w:left="520" w:right="30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Restricted Common Stock</w:t>
      </w:r>
      <w:r>
        <w:rPr>
          <w:rFonts w:ascii="Times New Roman" w:cs="Times New Roman" w:eastAsia="Times New Roman" w:hAnsi="Times New Roman"/>
          <w:sz w:val="18"/>
          <w:szCs w:val="18"/>
          <w:color w:val="auto"/>
        </w:rPr>
        <w:t>—As part of the acquisition of EvolutionIQ in January 2025 (see Note 3), the Company issued 10,356,096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subject to re-vesting conditions. The restricted shares have service-based vesting conditions and vest annually over two years. As of March 31, 2026, 5,178,048 restricted shares remain unvested. The fair value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ind w:right="80"/>
        <w:spacing w:after="0" w:line="282" w:lineRule="auto"/>
        <w:rPr>
          <w:sz w:val="20"/>
          <w:szCs w:val="20"/>
          <w:color w:val="auto"/>
        </w:rPr>
      </w:pPr>
      <w:r>
        <w:rPr>
          <w:rFonts w:ascii="Times New Roman" w:cs="Times New Roman" w:eastAsia="Times New Roman" w:hAnsi="Times New Roman"/>
          <w:sz w:val="18"/>
          <w:szCs w:val="18"/>
          <w:color w:val="auto"/>
        </w:rPr>
        <w:t>of the restricted shares at the acquisition date was $118.2 million, of which $71.5 million was included as purchase consideration and the remaining $46.7 million will be recognized as stock-based compensation expense over the vesting period.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Secondary Offerings and Stock Repurchase</w:t>
      </w:r>
      <w:r>
        <w:rPr>
          <w:rFonts w:ascii="Times New Roman" w:cs="Times New Roman" w:eastAsia="Times New Roman" w:hAnsi="Times New Roman"/>
          <w:sz w:val="18"/>
          <w:szCs w:val="18"/>
          <w:color w:val="auto"/>
        </w:rPr>
        <w:t>—There were no secondary offerings during the three months ended March 31, 2026.</w:t>
      </w:r>
    </w:p>
    <w:p>
      <w:pPr>
        <w:spacing w:after="0" w:line="119"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During the three months ended March 2025, a secondary offering was completed and 7,000,000 shares of common stock were repurchased by the Company for an aggregate price of $72.3 million. The shares repurchased by the Company were formally retired. The excess purchase price over par value was charged directly to accumulated deficit. In connection with the secondary offering, the Company incurred costs of $0.3 million included within general and administrative expenses on the condensed consolidated statement of operations and comprehensive income (loss).</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Share Repurchase Program</w:t>
      </w:r>
      <w:r>
        <w:rPr>
          <w:rFonts w:ascii="Times New Roman" w:cs="Times New Roman" w:eastAsia="Times New Roman" w:hAnsi="Times New Roman"/>
          <w:sz w:val="18"/>
          <w:szCs w:val="18"/>
          <w:color w:val="auto"/>
        </w:rPr>
        <w:t>—In December 2025, the Company’s board of directors authorized the repurchase of up to $500.0 million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outstanding shares of common stock (the “2025 Share Repurchase Program”). Under the 2025 Share Repurchase Program, the Company is authorized to repurchase shares through open market purchases, privately negotiated transactions, accelerated share repurchases, or by other means, including through the use of trading plans intended to qualify under Rule 10b5-1 under the Securities Exchange Act of 1934, in accordance with applicable securities laws and other restrictions. The 2025 Repurchase Program does not obligate the Company to repurchase any amount of common stock. The specific timing and amount of repurchases may vary based on available capital resources, market conditions, management’s discretion, security laws limitations, and other factors.</w:t>
      </w:r>
    </w:p>
    <w:p>
      <w:pPr>
        <w:spacing w:after="0" w:line="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March 2026, 16,565,982 shares of common stock were repurchased by the Company under the 2025 Share Repurchase Program for an aggregate price of $100.0 million and were formally retired with the excess purchase price over par value charged directly to accumulated deficit. As of March 31, 2026, the Company has $100.0 million available to purchase under the 2025 Share Repurchase Program.</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2024, the Company’s board of directors authorized the repurchase of up to $300.0 million of the Company’s outstanding shares of common stock (the “2024 Share Repurchase Program”). Under the 2024 Share Repurchase Program, the Company was authorized to repurchase shares through open market purchases, privately negotiated transactions, accelerated share repurchases, or by other means, including through the use of trading plans intended to qualify under Rule 10b5-1 under the Securities Exchange Act of 1934, in accordance with applicable securities laws and other restrictions. The 2024 Repurchase Program did not obligate the Company to repurchase any amount of common stock.</w:t>
      </w:r>
    </w:p>
    <w:p>
      <w:pPr>
        <w:spacing w:after="0" w:line="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$72.3 million of its common stock under the 2024 Share Repurchase Program. The remaining authorization of the 2024 Share Repurchase Program was utilized through subsequent share repurchases which occurred during the year ended December 31, 2025.</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Accelerated Share Repurchase Transaction</w:t>
      </w:r>
      <w:r>
        <w:rPr>
          <w:rFonts w:ascii="Times New Roman" w:cs="Times New Roman" w:eastAsia="Times New Roman" w:hAnsi="Times New Roman"/>
          <w:sz w:val="18"/>
          <w:szCs w:val="18"/>
          <w:color w:val="auto"/>
        </w:rPr>
        <w:t>—On December 12, 2025, the Company entered into an accelerated share repurchase (“ASR”)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with a third-party financial institution to repurchase $300.0 million of its common stock under the 2025 Share Repurchase Program. At inception, the Company paid the financial institution using proceeds from the Fifth Amendment and cash on hand and received an initial delivery of 33,240,998 shares, which were immediately retired. The shares received were equal to 80% of the prepayment amount based on the closing price of the common stock on December 11, 2025 of $7.22</w:t>
      </w:r>
    </w:p>
    <w:p>
      <w:pPr>
        <w:spacing w:after="0" w:line="18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093" w:right="339" w:bottom="1440" w:gutter="0" w:footer="0" w:header="0"/>
        </w:sectPr>
      </w:pPr>
    </w:p>
    <w:bookmarkStart w:id="22" w:name="page23"/>
    <w:bookmarkEnd w:id="22"/>
    <w:p>
      <w:pPr>
        <w:ind w:left="520" w:right="280" w:firstLine="45"/>
        <w:spacing w:after="0" w:line="282" w:lineRule="auto"/>
        <w:rPr>
          <w:sz w:val="20"/>
          <w:szCs w:val="20"/>
          <w:color w:val="auto"/>
        </w:rPr>
      </w:pPr>
      <w:r>
        <w:rPr>
          <w:rFonts w:ascii="Times New Roman" w:cs="Times New Roman" w:eastAsia="Times New Roman" w:hAnsi="Times New Roman"/>
          <w:sz w:val="18"/>
          <w:szCs w:val="18"/>
          <w:color w:val="auto"/>
        </w:rPr>
        <w:t>per share. The initial repurchase of shares under the agreement resulted in an immediate reduction of the outstanding shares used to calculate the weighted-average common shares outstanding for basic and diluted earnings per share.</w:t>
      </w:r>
    </w:p>
    <w:p>
      <w:pPr>
        <w:spacing w:after="0" w:line="54"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On February 27, 2026, the Company received a final delivery of 9,606,474 shares of its common stock with a fair value of approximately $60.0 million, representing the final settlement of the ASR agreement. The shares received upon final settlement were immediately retired.</w:t>
      </w:r>
    </w:p>
    <w:p>
      <w:pPr>
        <w:spacing w:after="0" w:line="158"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2021, the 2021 Equity Incentive Plan (the “2021 Plan”) was adopted and approved by the Company’s board of directors and stockholders.</w:t>
      </w:r>
    </w:p>
    <w:p>
      <w:pPr>
        <w:spacing w:after="0" w:line="115" w:lineRule="exact"/>
        <w:rPr>
          <w:rFonts w:ascii="Times New Roman" w:cs="Times New Roman" w:eastAsia="Times New Roman" w:hAnsi="Times New Roman"/>
          <w:sz w:val="18"/>
          <w:szCs w:val="18"/>
          <w:b w:val="1"/>
          <w:bCs w:val="1"/>
          <w:color w:val="auto"/>
        </w:rPr>
      </w:pPr>
    </w:p>
    <w:p>
      <w:pPr>
        <w:ind w:left="520" w:right="4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Restricted Stock Units and Restricted Stock Awards</w:t>
      </w:r>
      <w:r>
        <w:rPr>
          <w:rFonts w:ascii="Times New Roman" w:cs="Times New Roman" w:eastAsia="Times New Roman" w:hAnsi="Times New Roman"/>
          <w:sz w:val="18"/>
          <w:szCs w:val="18"/>
          <w:color w:val="auto"/>
        </w:rPr>
        <w:t>—The table below summarizes the restricted stock unit (“RSU”) and restricted stock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(“RSA”) activity for the three months ended March 31, 2026:</w:t>
      </w:r>
    </w:p>
    <w:tbl>
      <w:tblPr>
        <w:tblLayout w:type="fixed"/>
        <w:tblInd w:w="580" w:type="dxa"/>
        <w:tblCellMar>
          <w:top w:w="0" w:type="dxa"/>
          <w:left w:w="0" w:type="dxa"/>
          <w:bottom w:w="0" w:type="dxa"/>
          <w:right w:w="0" w:type="dxa"/>
        </w:tblCellMar>
      </w:tblPr>
      <w:tr>
        <w:trPr>
          <w:trHeight w:val="194"/>
        </w:trPr>
        <w:tc>
          <w:tcPr>
            <w:tcW w:w="7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line="195"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38"/>
        </w:trPr>
        <w:tc>
          <w:tcPr>
            <w:tcW w:w="7480" w:type="dxa"/>
            <w:vAlign w:val="bottom"/>
          </w:tcPr>
          <w:p>
            <w:pPr>
              <w:spacing w:after="0"/>
              <w:rPr>
                <w:sz w:val="20"/>
                <w:szCs w:val="20"/>
                <w:color w:val="auto"/>
              </w:rPr>
            </w:pPr>
          </w:p>
        </w:tc>
        <w:tc>
          <w:tcPr>
            <w:tcW w:w="1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2025</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24,982,281</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(8,808,980)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(594,599)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8"/>
                <w:szCs w:val="18"/>
                <w:color w:val="auto"/>
              </w:rPr>
            </w:pPr>
          </w:p>
        </w:tc>
      </w:tr>
      <w:tr>
        <w:trPr>
          <w:trHeight w:val="249"/>
        </w:trPr>
        <w:tc>
          <w:tcPr>
            <w:tcW w:w="7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—March 31, 2026</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27,371,636</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-25400</wp:posOffset>
            </wp:positionV>
            <wp:extent cx="603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acquisition of EvolutionIQ (see Note 3), the Company granted 792,174 RSAs that are subject to service conditions.</w:t>
      </w:r>
    </w:p>
    <w:p>
      <w:pPr>
        <w:spacing w:after="0" w:line="117"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11,792,934 RSUs. Of the RSUs granted during the three months ended March 31, 2026, 10,218,931 have time-based vesting requirements, and 1,574,003 have performance-based vesting requirements. The performance-based awards granted during the three months ended March 31,2026, include both a performance and a market condition. The grant date fair value of the performance-based awards with a market condition is estimated on the date of grant using the Monte Carlo simulation model.</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2026, 8,808,980 RSUs vested, of which 2,741,143 were withheld for employee tax obligations.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—The table below summarizes the stock option activity for the three months ended March 31, 2026:</w:t>
      </w:r>
    </w:p>
    <w:p>
      <w:pPr>
        <w:spacing w:after="0" w:line="1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38"/>
        </w:trPr>
        <w:tc>
          <w:tcPr>
            <w:tcW w:w="5580" w:type="dxa"/>
            <w:vAlign w:val="bottom"/>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outstanding—December 31, 2025</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21,797,772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106,846</w:t>
            </w: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(1,165,928)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 and canceled</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55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Options outstanding—March 31, 2026</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20,631,844</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63,810</w:t>
            </w:r>
          </w:p>
        </w:tc>
        <w:tc>
          <w:tcPr>
            <w:tcW w:w="100" w:type="dxa"/>
            <w:vAlign w:val="bottom"/>
            <w:tcBorders>
              <w:top w:val="single" w:sz="8" w:color="CFF0FC"/>
            </w:tcBorders>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5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exercisable—March 31, 2026</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20,631,844</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12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63,810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-333375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the options which vested during the three months ended March 31, 2026 was $0.5 million.</w:t>
      </w:r>
    </w:p>
    <w:p>
      <w:pPr>
        <w:spacing w:after="0" w:line="115" w:lineRule="exact"/>
        <w:rPr>
          <w:sz w:val="20"/>
          <w:szCs w:val="20"/>
          <w:color w:val="auto"/>
        </w:rPr>
      </w:pPr>
    </w:p>
    <w:p>
      <w:pPr>
        <w:ind w:left="520" w:right="180"/>
        <w:spacing w:after="0" w:line="267" w:lineRule="auto"/>
        <w:rPr>
          <w:sz w:val="20"/>
          <w:szCs w:val="20"/>
          <w:color w:val="auto"/>
        </w:rPr>
      </w:pPr>
      <w:r>
        <w:rPr>
          <w:rFonts w:ascii="Times New Roman" w:cs="Times New Roman" w:eastAsia="Times New Roman" w:hAnsi="Times New Roman"/>
          <w:sz w:val="18"/>
          <w:szCs w:val="18"/>
          <w:i w:val="1"/>
          <w:iCs w:val="1"/>
          <w:color w:val="auto"/>
        </w:rPr>
        <w:t>Cayman Equity Incentive Plan</w:t>
      </w:r>
      <w:r>
        <w:rPr>
          <w:rFonts w:ascii="Times New Roman" w:cs="Times New Roman" w:eastAsia="Times New Roman" w:hAnsi="Times New Roman"/>
          <w:sz w:val="18"/>
          <w:szCs w:val="18"/>
          <w:color w:val="auto"/>
        </w:rPr>
        <w:t>—In December 2022, the Company adopted the CCCIS Cayman Holdings Employees Equity Incentive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Incentive Plans”), which provide for the issuance of stock option awards in CCC Cayman (“Cayman Awards”) to eligible employees of the Company’s China subsidiaries.</w:t>
      </w:r>
    </w:p>
    <w:p>
      <w:pPr>
        <w:spacing w:after="0" w:line="67" w:lineRule="exact"/>
        <w:rPr>
          <w:sz w:val="20"/>
          <w:szCs w:val="20"/>
          <w:color w:val="auto"/>
        </w:rPr>
      </w:pPr>
    </w:p>
    <w:p>
      <w:pPr>
        <w:ind w:left="520" w:right="680"/>
        <w:spacing w:after="0" w:line="282" w:lineRule="auto"/>
        <w:rPr>
          <w:sz w:val="20"/>
          <w:szCs w:val="20"/>
          <w:color w:val="auto"/>
        </w:rPr>
      </w:pPr>
      <w:r>
        <w:rPr>
          <w:rFonts w:ascii="Times New Roman" w:cs="Times New Roman" w:eastAsia="Times New Roman" w:hAnsi="Times New Roman"/>
          <w:sz w:val="18"/>
          <w:szCs w:val="18"/>
          <w:color w:val="auto"/>
        </w:rPr>
        <w:t>Awards under the Cayman Incentive Plans are settled in cash and thus accounted for as liability awards. Awards granted under the Cayman Incentive Plans have time-based vesting and expire on the tenth anniversary of the grant date.</w:t>
      </w:r>
    </w:p>
    <w:p>
      <w:pPr>
        <w:spacing w:after="0" w:line="54" w:lineRule="exact"/>
        <w:rPr>
          <w:sz w:val="20"/>
          <w:szCs w:val="20"/>
          <w:color w:val="auto"/>
        </w:rPr>
      </w:pPr>
    </w:p>
    <w:p>
      <w:pPr>
        <w:jc w:val="both"/>
        <w:ind w:left="520" w:right="300"/>
        <w:spacing w:after="0" w:line="266" w:lineRule="auto"/>
        <w:rPr>
          <w:sz w:val="20"/>
          <w:szCs w:val="20"/>
          <w:color w:val="auto"/>
        </w:rPr>
      </w:pPr>
      <w:r>
        <w:rPr>
          <w:rFonts w:ascii="Times New Roman" w:cs="Times New Roman" w:eastAsia="Times New Roman" w:hAnsi="Times New Roman"/>
          <w:sz w:val="18"/>
          <w:szCs w:val="18"/>
          <w:color w:val="auto"/>
        </w:rPr>
        <w:t>There were no stock options under the Cayman Incentive Plans granted during the three months ended March 31, 2026. The exercise price of the options granted is equal to the fair value of the underlying shares at the grant date. As of March 31, 2026 and December 31, 2025, 2,334,827 and 2,355,400 stock options under the Cayman Incentive Plans are outstanding.</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—In July 2021, the Company adopted the CCC 2021 Employee Stock Purchase Plan (“ESPP”).</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2026, 190,081 shares were sold under the ESPP.</w:t>
      </w:r>
    </w:p>
    <w:p>
      <w:pPr>
        <w:spacing w:after="0" w:line="117" w:lineRule="exact"/>
        <w:rPr>
          <w:sz w:val="20"/>
          <w:szCs w:val="20"/>
          <w:color w:val="auto"/>
        </w:rPr>
      </w:pPr>
    </w:p>
    <w:p>
      <w:pPr>
        <w:ind w:left="520" w:right="540"/>
        <w:spacing w:after="0" w:line="272" w:lineRule="auto"/>
        <w:rPr>
          <w:sz w:val="20"/>
          <w:szCs w:val="20"/>
          <w:color w:val="auto"/>
        </w:rPr>
      </w:pPr>
      <w:r>
        <w:rPr>
          <w:rFonts w:ascii="Times New Roman" w:cs="Times New Roman" w:eastAsia="Times New Roman" w:hAnsi="Times New Roman"/>
          <w:sz w:val="18"/>
          <w:szCs w:val="18"/>
          <w:color w:val="auto"/>
        </w:rPr>
        <w:t>The fair value of the ESPP purchase rights sold during the three months ended March 31, 2026 was estimated using the Black-Scholes option pricing model with the following assumptions:</w:t>
      </w:r>
    </w:p>
    <w:tbl>
      <w:tblPr>
        <w:tblLayout w:type="fixed"/>
        <w:tblInd w:w="580" w:type="dxa"/>
        <w:tblCellMar>
          <w:top w:w="0" w:type="dxa"/>
          <w:left w:w="0" w:type="dxa"/>
          <w:bottom w:w="0" w:type="dxa"/>
          <w:right w:w="0" w:type="dxa"/>
        </w:tblCellMar>
      </w:tblPr>
      <w:tr>
        <w:trPr>
          <w:trHeight w:val="197"/>
        </w:trPr>
        <w:tc>
          <w:tcPr>
            <w:tcW w:w="5620" w:type="dxa"/>
            <w:vAlign w:val="bottom"/>
            <w:shd w:val="clear" w:color="auto" w:fill="CFF0FC"/>
          </w:tcPr>
          <w:p>
            <w:pPr>
              <w:spacing w:after="0" w:line="197" w:lineRule="exact"/>
              <w:rPr>
                <w:sz w:val="20"/>
                <w:szCs w:val="20"/>
                <w:color w:val="auto"/>
              </w:rPr>
            </w:pPr>
            <w:r>
              <w:rPr>
                <w:rFonts w:ascii="Times New Roman" w:cs="Times New Roman" w:eastAsia="Times New Roman" w:hAnsi="Times New Roman"/>
                <w:sz w:val="18"/>
                <w:szCs w:val="18"/>
                <w:color w:val="auto"/>
              </w:rPr>
              <w:t>Expected term (in years)</w:t>
            </w:r>
          </w:p>
        </w:tc>
        <w:tc>
          <w:tcPr>
            <w:tcW w:w="5040" w:type="dxa"/>
            <w:vAlign w:val="bottom"/>
            <w:shd w:val="clear" w:color="auto" w:fill="CFF0FC"/>
          </w:tcPr>
          <w:p>
            <w:pPr>
              <w:jc w:val="center"/>
              <w:ind w:left="3050"/>
              <w:spacing w:after="0" w:line="197" w:lineRule="exact"/>
              <w:rPr>
                <w:sz w:val="20"/>
                <w:szCs w:val="20"/>
                <w:color w:val="auto"/>
              </w:rPr>
            </w:pPr>
            <w:r>
              <w:rPr>
                <w:rFonts w:ascii="Times New Roman" w:cs="Times New Roman" w:eastAsia="Times New Roman" w:hAnsi="Times New Roman"/>
                <w:sz w:val="18"/>
                <w:szCs w:val="18"/>
                <w:color w:val="auto"/>
                <w:w w:val="97"/>
              </w:rPr>
              <w:t>0.5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50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8"/>
              </w:rPr>
              <w:t>33.5%</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5040" w:type="dxa"/>
            <w:vAlign w:val="bottom"/>
            <w:shd w:val="clear" w:color="auto" w:fill="CFF0FC"/>
          </w:tcPr>
          <w:p>
            <w:pPr>
              <w:jc w:val="center"/>
              <w:ind w:left="3030"/>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50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rPr>
              <w:t>4.2%</w:t>
            </w:r>
          </w:p>
        </w:tc>
      </w:tr>
    </w:tbl>
    <w:p>
      <w:pPr>
        <w:spacing w:after="0" w:line="69" w:lineRule="exact"/>
        <w:rPr>
          <w:sz w:val="20"/>
          <w:szCs w:val="20"/>
          <w:color w:val="auto"/>
        </w:rPr>
      </w:pPr>
    </w:p>
    <w:p>
      <w:pPr>
        <w:ind w:left="520" w:right="380"/>
        <w:spacing w:after="0" w:line="262"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—Stock-based compensation expense has been recorded in the accompanying condensed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comprehensive income (loss) as follows for the three months ended March 31, 2026 and 2025 (in thousands):</w:t>
      </w: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840" w:type="dxa"/>
            <w:vAlign w:val="bottom"/>
            <w:gridSpan w:val="2"/>
            <w:shd w:val="clear" w:color="auto" w:fill="CFF0FC"/>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3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3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100" w:type="dxa"/>
            <w:vAlign w:val="bottom"/>
          </w:tcPr>
          <w:p>
            <w:pPr>
              <w:spacing w:after="0"/>
              <w:rPr>
                <w:sz w:val="18"/>
                <w:szCs w:val="18"/>
                <w:color w:val="auto"/>
              </w:rPr>
            </w:pPr>
          </w:p>
        </w:tc>
      </w:tr>
      <w:tr>
        <w:trPr>
          <w:trHeight w:val="229"/>
        </w:trPr>
        <w:tc>
          <w:tcPr>
            <w:tcW w:w="42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40" w:type="dxa"/>
            <w:vAlign w:val="bottom"/>
            <w:gridSpan w:val="2"/>
            <w:shd w:val="clear" w:color="auto" w:fill="CFF0FC"/>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31,871</w:t>
            </w:r>
          </w:p>
        </w:tc>
        <w:tc>
          <w:tcPr>
            <w:tcW w:w="8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61,048</w:t>
            </w:r>
          </w:p>
        </w:tc>
        <w:tc>
          <w:tcPr>
            <w:tcW w:w="100" w:type="dxa"/>
            <w:vAlign w:val="bottom"/>
            <w:shd w:val="clear" w:color="auto" w:fill="CFF0FC"/>
          </w:tcPr>
          <w:p>
            <w:pPr>
              <w:spacing w:after="0"/>
              <w:rPr>
                <w:sz w:val="19"/>
                <w:szCs w:val="19"/>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-25400</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As of March 31, 2026, there was $182.8 million of unrecognized stock compensation expense related to unvested time-based awards which is expected to be recognized over a weighted-average period of 2.2 years. As of March 31, 2026, there was $24.7 million of unrecognized stock-based compensation expense related to unvested performance-based awards which is expected to be recognized over a weighted-average period of 1.9 years.</w:t>
      </w:r>
    </w:p>
    <w:p>
      <w:pPr>
        <w:spacing w:after="0" w:line="176" w:lineRule="exact"/>
        <w:rPr>
          <w:sz w:val="20"/>
          <w:szCs w:val="20"/>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117" w:lineRule="exact"/>
        <w:rPr>
          <w:rFonts w:ascii="Times New Roman" w:cs="Times New Roman" w:eastAsia="Times New Roman" w:hAnsi="Times New Roman"/>
          <w:sz w:val="18"/>
          <w:szCs w:val="18"/>
          <w:b w:val="1"/>
          <w:bCs w:val="1"/>
          <w:color w:val="auto"/>
        </w:rPr>
      </w:pPr>
    </w:p>
    <w:p>
      <w:pPr>
        <w:ind w:left="520" w:right="10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Obligations</w:t>
      </w:r>
      <w:r>
        <w:rPr>
          <w:rFonts w:ascii="Times New Roman" w:cs="Times New Roman" w:eastAsia="Times New Roman" w:hAnsi="Times New Roman"/>
          <w:sz w:val="18"/>
          <w:szCs w:val="18"/>
          <w:color w:val="auto"/>
        </w:rPr>
        <w:t>—The Company has long-term agreements with suppliers and other parties related to licensing data used in its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outsourced data center, disaster recovery and SaaS that expire at various dates through 2031. As of March 31, 2026, there were no material changes from the amounts disclosed as of December 31, 2025.</w:t>
      </w:r>
    </w:p>
    <w:p>
      <w:pPr>
        <w:spacing w:after="0" w:line="62" w:lineRule="exact"/>
        <w:rPr>
          <w:rFonts w:ascii="Times New Roman" w:cs="Times New Roman" w:eastAsia="Times New Roman" w:hAnsi="Times New Roman"/>
          <w:sz w:val="18"/>
          <w:szCs w:val="18"/>
          <w:b w:val="1"/>
          <w:bCs w:val="1"/>
          <w:color w:val="auto"/>
        </w:rPr>
      </w:pPr>
    </w:p>
    <w:p>
      <w:pPr>
        <w:ind w:left="520" w:right="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The Company’s services and solutions are typically warranted to perform in a manner consistent with general industry standards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reasonably applicable and substantially in accordance with the Company’s services and solutions documentation under normal use and circumstances. The Company’s services and solutions are generally warranted to be performed in a professional manner and to materially conform to the specifications set forth in the related customer contract. The Company’s arrangements also include certain provisions for indemnifying customers against liabilities if its services and solutions infringe a third party’s intellectual property rights.</w:t>
      </w:r>
    </w:p>
    <w:p>
      <w:pPr>
        <w:spacing w:after="0" w:line="75" w:lineRule="exact"/>
        <w:rPr>
          <w:rFonts w:ascii="Times New Roman" w:cs="Times New Roman" w:eastAsia="Times New Roman" w:hAnsi="Times New Roman"/>
          <w:sz w:val="18"/>
          <w:szCs w:val="18"/>
          <w:b w:val="1"/>
          <w:bCs w:val="1"/>
          <w:color w:val="auto"/>
        </w:rPr>
      </w:pPr>
    </w:p>
    <w:p>
      <w:pPr>
        <w:ind w:left="520" w:right="2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date, the Company has not incurred any material costs as a result of such indemnifications or commitments and has not accrued any liabilities related to such obligations in the accompanying condensed consolidated financial statements.</w:t>
      </w:r>
    </w:p>
    <w:p>
      <w:pPr>
        <w:spacing w:after="0" w:line="49" w:lineRule="exact"/>
        <w:rPr>
          <w:rFonts w:ascii="Times New Roman" w:cs="Times New Roman" w:eastAsia="Times New Roman" w:hAnsi="Times New Roman"/>
          <w:sz w:val="18"/>
          <w:szCs w:val="18"/>
          <w:b w:val="1"/>
          <w:bCs w:val="1"/>
          <w:color w:val="auto"/>
        </w:rPr>
      </w:pPr>
    </w:p>
    <w:p>
      <w:pPr>
        <w:ind w:left="520" w:right="3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Agreements</w:t>
      </w:r>
      <w:r>
        <w:rPr>
          <w:rFonts w:ascii="Times New Roman" w:cs="Times New Roman" w:eastAsia="Times New Roman" w:hAnsi="Times New Roman"/>
          <w:sz w:val="18"/>
          <w:szCs w:val="18"/>
          <w:color w:val="auto"/>
        </w:rPr>
        <w:t>—The Company is a party to employment agreements with key employees that provide for compensation and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benefits. These agreements also provide for severance and bonus payments under certain circumstances.</w:t>
      </w:r>
    </w:p>
    <w:p>
      <w:pPr>
        <w:spacing w:after="0" w:line="15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PROCEEDINGS AND CONTINGENCIES</w:t>
      </w:r>
    </w:p>
    <w:p>
      <w:pPr>
        <w:spacing w:after="0" w:line="121" w:lineRule="exact"/>
        <w:rPr>
          <w:rFonts w:ascii="Times New Roman" w:cs="Times New Roman" w:eastAsia="Times New Roman" w:hAnsi="Times New Roman"/>
          <w:sz w:val="18"/>
          <w:szCs w:val="18"/>
          <w:b w:val="1"/>
          <w:bCs w:val="1"/>
          <w:color w:val="auto"/>
        </w:rPr>
      </w:pPr>
    </w:p>
    <w:p>
      <w:pPr>
        <w:ind w:left="52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upon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71" w:lineRule="exact"/>
        <w:rPr>
          <w:rFonts w:ascii="Times New Roman" w:cs="Times New Roman" w:eastAsia="Times New Roman" w:hAnsi="Times New Roman"/>
          <w:sz w:val="18"/>
          <w:szCs w:val="18"/>
          <w:b w:val="1"/>
          <w:bCs w:val="1"/>
          <w:color w:val="auto"/>
        </w:rPr>
      </w:pPr>
    </w:p>
    <w:p>
      <w:pPr>
        <w:ind w:left="52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2024, the Company made claims against certain parties for violation of its intellectual property and other related actions. These claims were settled during the three months ended March 31,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ind w:left="520" w:hanging="512"/>
        <w:spacing w:after="0"/>
        <w:tabs>
          <w:tab w:leader="none" w:pos="5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rFonts w:ascii="Times New Roman" w:cs="Times New Roman" w:eastAsia="Times New Roman" w:hAnsi="Times New Roman"/>
          <w:sz w:val="18"/>
          <w:szCs w:val="18"/>
          <w:b w:val="1"/>
          <w:bCs w:val="1"/>
          <w:color w:val="auto"/>
        </w:rPr>
      </w:pPr>
    </w:p>
    <w:p>
      <w:pPr>
        <w:ind w:left="520" w:righ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engaged in transactions within the ordinary course of business with entities affiliated with its principal equity owners and directors.</w:t>
      </w:r>
    </w:p>
    <w:p>
      <w:pPr>
        <w:spacing w:after="0" w:line="53" w:lineRule="exact"/>
        <w:rPr>
          <w:rFonts w:ascii="Times New Roman" w:cs="Times New Roman" w:eastAsia="Times New Roman" w:hAnsi="Times New Roman"/>
          <w:sz w:val="18"/>
          <w:szCs w:val="18"/>
          <w:b w:val="1"/>
          <w:bCs w:val="1"/>
          <w:color w:val="auto"/>
        </w:rPr>
      </w:pPr>
    </w:p>
    <w:p>
      <w:pPr>
        <w:ind w:left="520" w:right="4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revenues recognized and expenses incurred with entities affiliated with one of its principal equity owners and directors for the three months ended March 31, 2026 and 2025 (in thousands):</w:t>
      </w:r>
    </w:p>
    <w:tbl>
      <w:tblPr>
        <w:tblLayout w:type="fixed"/>
        <w:tblInd w:w="580" w:type="dxa"/>
        <w:tblCellMar>
          <w:top w:w="0" w:type="dxa"/>
          <w:left w:w="0" w:type="dxa"/>
          <w:bottom w:w="0" w:type="dxa"/>
          <w:right w:w="0" w:type="dxa"/>
        </w:tblCellMar>
      </w:tblPr>
      <w:tr>
        <w:trPr>
          <w:trHeight w:val="194"/>
        </w:trPr>
        <w:tc>
          <w:tcPr>
            <w:tcW w:w="8120" w:type="dxa"/>
            <w:vAlign w:val="bottom"/>
          </w:tcPr>
          <w:p>
            <w:pPr>
              <w:spacing w:after="0"/>
              <w:rPr>
                <w:sz w:val="16"/>
                <w:szCs w:val="16"/>
                <w:color w:val="auto"/>
              </w:rPr>
            </w:pPr>
          </w:p>
        </w:tc>
        <w:tc>
          <w:tcPr>
            <w:tcW w:w="2540" w:type="dxa"/>
            <w:vAlign w:val="bottom"/>
            <w:gridSpan w:val="6"/>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81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8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Software subscriptions</w:t>
            </w: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Credit card processing</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Employee health insurance benefits</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 security software</w:t>
            </w:r>
          </w:p>
        </w:tc>
        <w:tc>
          <w:tcPr>
            <w:tcW w:w="7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8"/>
                <w:szCs w:val="18"/>
                <w:color w:val="auto"/>
              </w:rPr>
            </w:pPr>
          </w:p>
        </w:tc>
      </w:tr>
      <w:tr>
        <w:trPr>
          <w:trHeight w:val="216"/>
        </w:trPr>
        <w:tc>
          <w:tcPr>
            <w:tcW w:w="81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Board of director fees for services, including related travel and out-of-pocket reimbursements</w:t>
            </w: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8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Human resources support services</w:t>
            </w: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Not significant.</w:t>
      </w:r>
    </w:p>
    <w:p>
      <w:pPr>
        <w:spacing w:after="0" w:line="1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Not a related party during the three months ended March 31.</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2025, all receivables and payables from related parties were de minimis.</w:t>
      </w:r>
    </w:p>
    <w:p>
      <w:pPr>
        <w:spacing w:after="0" w:line="221"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(EXPENSE)—NET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income (expense)—Net consists of the following (in thousands):</w:t>
      </w:r>
    </w:p>
    <w:p>
      <w:pPr>
        <w:spacing w:after="0" w:line="1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from change in fair value of interest rate swaps</w:t>
            </w:r>
          </w:p>
        </w:tc>
        <w:tc>
          <w:tcPr>
            <w:tcW w:w="2500" w:type="dxa"/>
            <w:vAlign w:val="bottom"/>
            <w:gridSpan w:val="2"/>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(5,331)</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Loss from change in fair value of interest rate caps</w:t>
            </w:r>
          </w:p>
        </w:tc>
        <w:tc>
          <w:tcPr>
            <w:tcW w:w="1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income from derivative instruments</w:t>
            </w:r>
          </w:p>
        </w:tc>
        <w:tc>
          <w:tcPr>
            <w:tcW w:w="13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income—Net</w:t>
            </w:r>
          </w:p>
        </w:tc>
        <w:tc>
          <w:tcPr>
            <w:tcW w:w="13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r>
      <w:tr>
        <w:trPr>
          <w:trHeight w:val="230"/>
        </w:trPr>
        <w:tc>
          <w:tcPr>
            <w:tcW w:w="5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income (expense)—Net</w:t>
            </w:r>
          </w:p>
        </w:tc>
        <w:tc>
          <w:tcPr>
            <w:tcW w:w="1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(5,097)</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-8255</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390"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rFonts w:ascii="Times New Roman" w:cs="Times New Roman" w:eastAsia="Times New Roman" w:hAnsi="Times New Roman"/>
          <w:sz w:val="18"/>
          <w:szCs w:val="18"/>
          <w:b w:val="1"/>
          <w:bCs w:val="1"/>
          <w:color w:val="auto"/>
        </w:rPr>
      </w:pPr>
    </w:p>
    <w:p>
      <w:pPr>
        <w:ind w:left="52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basic earnings per share by dividing the net income (loss) attributable to common stockholders by the weighted average number of shares of common stock outstanding for the period. The diluted earnings per share is computed by assuming the exercise, settlement and vesting of all potential dilutive common stock equivalents outstanding for the period using the treasury stock method. The Company excludes common stock equivalent shares from the calculation if their effect is anti-dilutive. In a period where the Company is in a net loss position, the diluted loss per share is calculated using the basic share count.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5" w:name="page26"/>
    <w:bookmarkEnd w:id="25"/>
    <w:p>
      <w:pPr>
        <w:ind w:left="520" w:right="22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reconciliation of the numerator and denominator used to compute basic and diluted earnings per share of common stock (in thousands, except for share and per share data).</w:t>
      </w:r>
    </w:p>
    <w:tbl>
      <w:tblPr>
        <w:tblLayout w:type="fixed"/>
        <w:tblInd w:w="580" w:type="dxa"/>
        <w:tblCellMar>
          <w:top w:w="0" w:type="dxa"/>
          <w:left w:w="0" w:type="dxa"/>
          <w:bottom w:w="0" w:type="dxa"/>
          <w:right w:w="0" w:type="dxa"/>
        </w:tblCellMar>
      </w:tblPr>
      <w:tr>
        <w:trPr>
          <w:trHeight w:val="194"/>
        </w:trPr>
        <w:tc>
          <w:tcPr>
            <w:tcW w:w="5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0" w:type="dxa"/>
            <w:vAlign w:val="bottom"/>
            <w:gridSpan w:val="5"/>
          </w:tcPr>
          <w:p>
            <w:pPr>
              <w:jc w:val="right"/>
              <w:ind w:right="1040"/>
              <w:spacing w:after="0" w:line="194" w:lineRule="exact"/>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5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(17,421)</w:t>
            </w: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(1,276)</w:t>
            </w:r>
          </w:p>
        </w:tc>
      </w:tr>
      <w:tr>
        <w:trPr>
          <w:trHeight w:val="20"/>
        </w:trPr>
        <w:tc>
          <w:tcPr>
            <w:tcW w:w="54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8"/>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(18,697)</w:t>
            </w:r>
          </w:p>
        </w:tc>
      </w:tr>
      <w:tr>
        <w:trPr>
          <w:trHeight w:val="198"/>
        </w:trPr>
        <w:tc>
          <w:tcPr>
            <w:tcW w:w="5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stock—basic and diluted</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587,380,660</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636,832,216</w:t>
            </w:r>
          </w:p>
        </w:tc>
        <w:tc>
          <w:tcPr>
            <w:tcW w:w="100" w:type="dxa"/>
            <w:vAlign w:val="bottom"/>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19,642,034</w:t>
            </w: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stock—diluted</w:t>
            </w:r>
          </w:p>
        </w:tc>
        <w:tc>
          <w:tcPr>
            <w:tcW w:w="98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607,022,694</w:t>
            </w:r>
          </w:p>
        </w:tc>
        <w:tc>
          <w:tcPr>
            <w:tcW w:w="30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636,832,216</w:t>
            </w:r>
          </w:p>
        </w:tc>
        <w:tc>
          <w:tcPr>
            <w:tcW w:w="100" w:type="dxa"/>
            <w:vAlign w:val="bottom"/>
            <w:tcBorders>
              <w:top w:val="single" w:sz="8" w:color="CFF0FC"/>
            </w:tcBorders>
          </w:tcPr>
          <w:p>
            <w:pPr>
              <w:spacing w:after="0"/>
              <w:rPr>
                <w:sz w:val="18"/>
                <w:szCs w:val="18"/>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-1250950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-1250950</wp:posOffset>
            </wp:positionV>
            <wp:extent cx="596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-556895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-556895</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Approximately 14,719,220 and 32,825,933 common stock equivalent shares were excluded from the computation of diluted per share amounts for the three months ended March 31, 2026 and 2025, respectively, because their effect was anti-dilutive.</w:t>
      </w:r>
    </w:p>
    <w:p>
      <w:pPr>
        <w:spacing w:after="0" w:line="54"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color w:val="auto"/>
        </w:rPr>
        <w:t>As part of the Business Combination, 8,625,000 shares issued and held by Dragoneer (the “Sponsor Vesting Shares”) became non-transferable and subject to forfeiture on the tenth anniversary of the closing of the Business Combination if neither of the defined triggering events has occurred. The Sponsor Vesting Shares are issued and outstanding during the three months ended March 31, 2026 and 2025 and excluded from the weighted average number of shares of common stock outstanding until the vesting requirement is met and the restriction is removed. For information regarding the Business Combination and the shares issued and held by Dragoneer, see "Note 19. Capital Stock" of our Annual Report on Form 10-K for the year ended December 31, 2025.</w:t>
      </w:r>
    </w:p>
    <w:p>
      <w:pPr>
        <w:spacing w:after="0" w:line="183"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 AND INFORMATION ABOUT GEOGRAPHIC AREAS</w:t>
      </w:r>
    </w:p>
    <w:p>
      <w:pPr>
        <w:spacing w:after="0" w:line="121" w:lineRule="exact"/>
        <w:rPr>
          <w:rFonts w:ascii="Times New Roman" w:cs="Times New Roman" w:eastAsia="Times New Roman" w:hAnsi="Times New Roman"/>
          <w:sz w:val="18"/>
          <w:szCs w:val="18"/>
          <w:b w:val="1"/>
          <w:bCs w:val="1"/>
          <w:color w:val="auto"/>
        </w:rPr>
      </w:pPr>
    </w:p>
    <w:p>
      <w:pPr>
        <w:ind w:left="52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organizes its segments around its operations by geographic region and operates in one reportable segment (the “Domestic Segment”). The Domestic Segment provides SAAS platforms for the insurance economy and derives revenues from providing customers with software subscriptions to the platforms in addition to providing professional services and non-software services. The accounting policies of the Domestic Segment are the same as those described in Note 2.</w:t>
      </w:r>
    </w:p>
    <w:p>
      <w:pPr>
        <w:spacing w:after="0" w:line="7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does not have intra-entity sales or transfers.</w:t>
      </w:r>
    </w:p>
    <w:p>
      <w:pPr>
        <w:spacing w:after="0" w:line="117" w:lineRule="exact"/>
        <w:rPr>
          <w:rFonts w:ascii="Times New Roman" w:cs="Times New Roman" w:eastAsia="Times New Roman" w:hAnsi="Times New Roman"/>
          <w:sz w:val="18"/>
          <w:szCs w:val="18"/>
          <w:b w:val="1"/>
          <w:bCs w:val="1"/>
          <w:color w:val="auto"/>
        </w:rPr>
      </w:pPr>
    </w:p>
    <w:p>
      <w:pPr>
        <w:ind w:left="52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chief operating decision maker (“CODM”) of the Domestic Segment is the Company’s chief executive officer. The CODM assesses performance for the Domestic Segment at the segment level and uses the segment’s performance when making strategic decisions on how to allocate resources and capital. In addition, the segment’s performance is used when reviewing actual financial performance against internal budgets and for establishing incentive compensation targets.</w:t>
      </w:r>
    </w:p>
    <w:p>
      <w:pPr>
        <w:spacing w:after="0" w:line="71" w:lineRule="exact"/>
        <w:rPr>
          <w:rFonts w:ascii="Times New Roman" w:cs="Times New Roman" w:eastAsia="Times New Roman" w:hAnsi="Times New Roman"/>
          <w:sz w:val="18"/>
          <w:szCs w:val="18"/>
          <w:b w:val="1"/>
          <w:bCs w:val="1"/>
          <w:color w:val="auto"/>
        </w:rPr>
      </w:pPr>
    </w:p>
    <w:p>
      <w:pPr>
        <w:ind w:left="52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 uses net income (loss) to evaluate income (loss) generated from operations in deciding whether to reinvest profits into the Domestic Segment or use for acquisitions, to pay dividends or repurchase outstanding shares of common stock. The CODM reviews financial information, including significant expenses, of the Domestic Segment on an adjusted basis, excluding certain items that may not be indicative of the Company’s recurring core business operations. This financial information reviewed by the CODM is accompanied by information about revenue by type of service and geographic region, for purposes of allocating resources and evaluating financial performance.</w:t>
      </w:r>
    </w:p>
    <w:p>
      <w:pPr>
        <w:spacing w:after="0" w:line="75" w:lineRule="exact"/>
        <w:rPr>
          <w:rFonts w:ascii="Times New Roman" w:cs="Times New Roman" w:eastAsia="Times New Roman" w:hAnsi="Times New Roman"/>
          <w:sz w:val="18"/>
          <w:szCs w:val="18"/>
          <w:b w:val="1"/>
          <w:bCs w:val="1"/>
          <w:color w:val="auto"/>
        </w:rPr>
      </w:pPr>
    </w:p>
    <w:p>
      <w:pPr>
        <w:ind w:left="52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information and performance measures used by the CODM do not include a metric or measure including segment assets and thus, no asset information is provided to the CODM for the purpose of making strategic decisions or allocating resources.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ind w:left="3"/>
        <w:spacing w:after="0"/>
        <w:rPr>
          <w:sz w:val="20"/>
          <w:szCs w:val="20"/>
          <w:color w:val="auto"/>
        </w:rPr>
      </w:pPr>
      <w:r>
        <w:rPr>
          <w:rFonts w:ascii="Times New Roman" w:cs="Times New Roman" w:eastAsia="Times New Roman" w:hAnsi="Times New Roman"/>
          <w:sz w:val="18"/>
          <w:szCs w:val="18"/>
          <w:color w:val="auto"/>
        </w:rPr>
        <w:t>The following table presents the Company’s financial information about reported segment revenue, significant segment expenses, and the</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Company’s reconciliation of segment profit (loss) to condensed consolidated net income (loss) (in thousands):</w:t>
      </w:r>
    </w:p>
    <w:p>
      <w:pPr>
        <w:spacing w:after="0" w:line="317" w:lineRule="exact"/>
        <w:rPr>
          <w:sz w:val="20"/>
          <w:szCs w:val="20"/>
          <w:color w:val="auto"/>
        </w:rPr>
      </w:pPr>
    </w:p>
    <w:tbl>
      <w:tblPr>
        <w:tblLayout w:type="fixed"/>
        <w:tblInd w:w="63" w:type="dxa"/>
        <w:tblCellMar>
          <w:top w:w="0" w:type="dxa"/>
          <w:left w:w="0" w:type="dxa"/>
          <w:bottom w:w="0" w:type="dxa"/>
          <w:right w:w="0" w:type="dxa"/>
        </w:tblCellMar>
      </w:tblPr>
      <w:tr>
        <w:trPr>
          <w:trHeight w:val="203"/>
        </w:trPr>
        <w:tc>
          <w:tcPr>
            <w:tcW w:w="6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8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1060" w:type="dxa"/>
            <w:vAlign w:val="bottom"/>
            <w:vMerge w:val="restart"/>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820" w:type="dxa"/>
            <w:vAlign w:val="bottom"/>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w:t>
            </w:r>
          </w:p>
        </w:tc>
        <w:tc>
          <w:tcPr>
            <w:tcW w:w="10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Revenue—Domestic Segment</w:t>
            </w:r>
          </w:p>
        </w:tc>
        <w:tc>
          <w:tcPr>
            <w:tcW w:w="108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279,576</w:t>
            </w:r>
          </w:p>
        </w:tc>
        <w:tc>
          <w:tcPr>
            <w:tcW w:w="280" w:type="dxa"/>
            <w:vAlign w:val="bottom"/>
          </w:tcPr>
          <w:p>
            <w:pPr>
              <w:spacing w:after="0"/>
              <w:rPr>
                <w:sz w:val="17"/>
                <w:szCs w:val="17"/>
                <w:color w:val="auto"/>
              </w:rPr>
            </w:pPr>
          </w:p>
        </w:tc>
        <w:tc>
          <w:tcPr>
            <w:tcW w:w="62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FF0FC"/>
            </w:tcBorders>
            <w:shd w:val="clear" w:color="auto" w:fill="CFF0FC"/>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Revenue—Other </w:t>
            </w:r>
            <w:r>
              <w:rPr>
                <w:rFonts w:ascii="Times New Roman" w:cs="Times New Roman" w:eastAsia="Times New Roman" w:hAnsi="Times New Roman"/>
                <w:sz w:val="21"/>
                <w:szCs w:val="21"/>
                <w:color w:val="auto"/>
                <w:vertAlign w:val="superscript"/>
              </w:rPr>
              <w:t>(1)</w:t>
            </w:r>
          </w:p>
        </w:tc>
        <w:tc>
          <w:tcPr>
            <w:tcW w:w="10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1,698</w:t>
            </w:r>
          </w:p>
        </w:tc>
        <w:tc>
          <w:tcPr>
            <w:tcW w:w="28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281,274</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Expenses:</w:t>
            </w:r>
          </w:p>
        </w:tc>
        <w:tc>
          <w:tcPr>
            <w:tcW w:w="10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Data licenses and royalties—adjusted </w:t>
            </w:r>
            <w:r>
              <w:rPr>
                <w:rFonts w:ascii="Times New Roman" w:cs="Times New Roman" w:eastAsia="Times New Roman" w:hAnsi="Times New Roman"/>
                <w:sz w:val="21"/>
                <w:szCs w:val="21"/>
                <w:color w:val="auto"/>
                <w:vertAlign w:val="superscript"/>
              </w:rPr>
              <w:t>(2)</w:t>
            </w: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11,158</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Customer services—adjusted </w:t>
            </w:r>
            <w:r>
              <w:rPr>
                <w:rFonts w:ascii="Times New Roman" w:cs="Times New Roman" w:eastAsia="Times New Roman" w:hAnsi="Times New Roman"/>
                <w:sz w:val="21"/>
                <w:szCs w:val="21"/>
                <w:color w:val="auto"/>
                <w:vertAlign w:val="superscript"/>
              </w:rPr>
              <w:t>(3)</w:t>
            </w:r>
          </w:p>
        </w:tc>
        <w:tc>
          <w:tcPr>
            <w:tcW w:w="10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27,507</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28,009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Products and technology—adjusted </w:t>
            </w:r>
            <w:r>
              <w:rPr>
                <w:rFonts w:ascii="Times New Roman" w:cs="Times New Roman" w:eastAsia="Times New Roman" w:hAnsi="Times New Roman"/>
                <w:sz w:val="21"/>
                <w:szCs w:val="21"/>
                <w:color w:val="auto"/>
                <w:vertAlign w:val="superscript"/>
              </w:rPr>
              <w:t>(4)</w:t>
            </w: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80,843</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shd w:val="clear" w:color="auto" w:fill="CFF0FC"/>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Revenue enablement—adjusted </w:t>
            </w:r>
            <w:r>
              <w:rPr>
                <w:rFonts w:ascii="Times New Roman" w:cs="Times New Roman" w:eastAsia="Times New Roman" w:hAnsi="Times New Roman"/>
                <w:sz w:val="21"/>
                <w:szCs w:val="21"/>
                <w:color w:val="auto"/>
                <w:vertAlign w:val="superscript"/>
              </w:rPr>
              <w:t>(5)</w:t>
            </w:r>
          </w:p>
        </w:tc>
        <w:tc>
          <w:tcPr>
            <w:tcW w:w="10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35,349</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General corporate and administrative—adjusted </w:t>
            </w:r>
            <w:r>
              <w:rPr>
                <w:rFonts w:ascii="Times New Roman" w:cs="Times New Roman" w:eastAsia="Times New Roman" w:hAnsi="Times New Roman"/>
                <w:sz w:val="21"/>
                <w:szCs w:val="21"/>
                <w:color w:val="auto"/>
                <w:vertAlign w:val="superscript"/>
              </w:rPr>
              <w:t>(6)</w:t>
            </w: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Other segment items </w:t>
            </w:r>
            <w:r>
              <w:rPr>
                <w:rFonts w:ascii="Times New Roman" w:cs="Times New Roman" w:eastAsia="Times New Roman" w:hAnsi="Times New Roman"/>
                <w:sz w:val="21"/>
                <w:szCs w:val="21"/>
                <w:color w:val="auto"/>
                <w:vertAlign w:val="superscript"/>
              </w:rPr>
              <w:t>(7)</w:t>
            </w:r>
          </w:p>
        </w:tc>
        <w:tc>
          <w:tcPr>
            <w:tcW w:w="10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19,239</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expense</w:t>
            </w: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expense</w:t>
            </w:r>
          </w:p>
        </w:tc>
        <w:tc>
          <w:tcPr>
            <w:tcW w:w="10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13,376</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0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20,300</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10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(942)</w:t>
            </w:r>
          </w:p>
        </w:tc>
        <w:tc>
          <w:tcPr>
            <w:tcW w:w="6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(1,948)</w:t>
            </w:r>
          </w:p>
        </w:tc>
        <w:tc>
          <w:tcPr>
            <w:tcW w:w="0" w:type="dxa"/>
            <w:vAlign w:val="bottom"/>
          </w:tcPr>
          <w:p>
            <w:pPr>
              <w:spacing w:after="0"/>
              <w:rPr>
                <w:sz w:val="1"/>
                <w:szCs w:val="1"/>
                <w:color w:val="auto"/>
              </w:rPr>
            </w:pPr>
          </w:p>
        </w:tc>
      </w:tr>
      <w:tr>
        <w:trPr>
          <w:trHeight w:val="203"/>
        </w:trPr>
        <w:tc>
          <w:tcPr>
            <w:tcW w:w="6820" w:type="dxa"/>
            <w:vAlign w:val="bottom"/>
          </w:tcPr>
          <w:p>
            <w:pPr>
              <w:ind w:left="120"/>
              <w:spacing w:after="0" w:line="203" w:lineRule="exact"/>
              <w:rPr>
                <w:sz w:val="20"/>
                <w:szCs w:val="20"/>
                <w:color w:val="auto"/>
              </w:rPr>
            </w:pPr>
            <w:r>
              <w:rPr>
                <w:rFonts w:ascii="Times New Roman" w:cs="Times New Roman" w:eastAsia="Times New Roman" w:hAnsi="Times New Roman"/>
                <w:sz w:val="16"/>
                <w:szCs w:val="16"/>
                <w:color w:val="auto"/>
              </w:rPr>
              <w:t xml:space="preserve">Significant non-cash items </w:t>
            </w:r>
            <w:r>
              <w:rPr>
                <w:rFonts w:ascii="Times New Roman" w:cs="Times New Roman" w:eastAsia="Times New Roman" w:hAnsi="Times New Roman"/>
                <w:sz w:val="21"/>
                <w:szCs w:val="21"/>
                <w:color w:val="auto"/>
                <w:vertAlign w:val="superscript"/>
              </w:rPr>
              <w:t>(8)</w:t>
            </w:r>
          </w:p>
        </w:tc>
        <w:tc>
          <w:tcPr>
            <w:tcW w:w="108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(4,395)</w:t>
            </w:r>
          </w:p>
        </w:tc>
        <w:tc>
          <w:tcPr>
            <w:tcW w:w="6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18,008</w:t>
            </w:r>
          </w:p>
        </w:tc>
        <w:tc>
          <w:tcPr>
            <w:tcW w:w="2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(13,353)</w:t>
            </w:r>
          </w:p>
        </w:tc>
        <w:tc>
          <w:tcPr>
            <w:tcW w:w="0" w:type="dxa"/>
            <w:vAlign w:val="bottom"/>
          </w:tcPr>
          <w:p>
            <w:pPr>
              <w:spacing w:after="0"/>
              <w:rPr>
                <w:sz w:val="1"/>
                <w:szCs w:val="1"/>
                <w:color w:val="auto"/>
              </w:rPr>
            </w:pPr>
          </w:p>
        </w:tc>
      </w:tr>
      <w:tr>
        <w:trPr>
          <w:trHeight w:val="196"/>
        </w:trPr>
        <w:tc>
          <w:tcPr>
            <w:tcW w:w="6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segment expenses</w:t>
            </w:r>
          </w:p>
        </w:tc>
        <w:tc>
          <w:tcPr>
            <w:tcW w:w="10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265,857</w:t>
            </w:r>
          </w:p>
        </w:tc>
        <w:tc>
          <w:tcPr>
            <w:tcW w:w="280" w:type="dxa"/>
            <w:vAlign w:val="bottom"/>
            <w:tcBorders>
              <w:top w:val="single" w:sz="8" w:color="CFF0FC"/>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268,986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(loss) including non-controlling interest</w:t>
            </w:r>
          </w:p>
        </w:tc>
        <w:tc>
          <w:tcPr>
            <w:tcW w:w="108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15,417</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(17,421)</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-2237105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6740525</wp:posOffset>
            </wp:positionH>
            <wp:positionV relativeFrom="paragraph">
              <wp:posOffset>-2237105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-299720</wp:posOffset>
            </wp:positionV>
            <wp:extent cx="6032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6740525</wp:posOffset>
            </wp:positionH>
            <wp:positionV relativeFrom="paragraph">
              <wp:posOffset>-299720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-24765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-8255</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6740525</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6740525</wp:posOffset>
            </wp:positionH>
            <wp:positionV relativeFrom="paragraph">
              <wp:posOffset>-8255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3" w:lineRule="exact"/>
        <w:rPr>
          <w:sz w:val="20"/>
          <w:szCs w:val="20"/>
          <w:color w:val="auto"/>
        </w:rPr>
      </w:pPr>
    </w:p>
    <w:p>
      <w:pPr>
        <w:ind w:left="183" w:hanging="183"/>
        <w:spacing w:after="0"/>
        <w:tabs>
          <w:tab w:leader="none" w:pos="183"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Represents revenue from an insignificant segment that does not meet the quantitative thresholds for determining reportable segments.</w:t>
      </w:r>
    </w:p>
    <w:p>
      <w:pPr>
        <w:spacing w:after="0" w:line="99" w:lineRule="exact"/>
        <w:rPr>
          <w:rFonts w:ascii="Times New Roman" w:cs="Times New Roman" w:eastAsia="Times New Roman" w:hAnsi="Times New Roman"/>
          <w:sz w:val="23"/>
          <w:szCs w:val="23"/>
          <w:color w:val="auto"/>
          <w:vertAlign w:val="superscript"/>
        </w:rPr>
      </w:pPr>
    </w:p>
    <w:p>
      <w:pPr>
        <w:ind w:left="3" w:right="80" w:hanging="3"/>
        <w:spacing w:after="0" w:line="225" w:lineRule="auto"/>
        <w:tabs>
          <w:tab w:leader="none" w:pos="188"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Data licenses and royalties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expenses include third party costs for data licensing and royalty fees. Data licenses and royalties – adjusted excludes stock-based compensation expense and related employer payroll tax.</w:t>
      </w:r>
    </w:p>
    <w:p>
      <w:pPr>
        <w:spacing w:after="0" w:line="100" w:lineRule="exact"/>
        <w:rPr>
          <w:rFonts w:ascii="Times New Roman" w:cs="Times New Roman" w:eastAsia="Times New Roman" w:hAnsi="Times New Roman"/>
          <w:sz w:val="24"/>
          <w:szCs w:val="24"/>
          <w:color w:val="auto"/>
          <w:vertAlign w:val="superscript"/>
        </w:rPr>
      </w:pPr>
    </w:p>
    <w:p>
      <w:pPr>
        <w:ind w:left="3" w:right="420" w:hanging="3"/>
        <w:spacing w:after="0" w:line="233" w:lineRule="auto"/>
        <w:tabs>
          <w:tab w:leader="none" w:pos="188"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Customer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expenses include the costs to deliver services to customers, including software configuration, integration and implementation services and customer support activities. Customer 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excludes stock-based compensation expense and related employer payroll tax.</w:t>
      </w:r>
    </w:p>
    <w:p>
      <w:pPr>
        <w:spacing w:after="0" w:line="99" w:lineRule="exact"/>
        <w:rPr>
          <w:rFonts w:ascii="Times New Roman" w:cs="Times New Roman" w:eastAsia="Times New Roman" w:hAnsi="Times New Roman"/>
          <w:sz w:val="24"/>
          <w:szCs w:val="24"/>
          <w:color w:val="auto"/>
          <w:vertAlign w:val="superscript"/>
        </w:rPr>
      </w:pPr>
    </w:p>
    <w:p>
      <w:pPr>
        <w:ind w:left="3" w:hanging="3"/>
        <w:spacing w:after="0" w:line="247" w:lineRule="auto"/>
        <w:tabs>
          <w:tab w:leader="none" w:pos="18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Products and technology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adjusted expenses include costs related to the engineering, product management design and development of the Company’s solutions, and costs related to the Company’s hosting environments, support of production infrastructure, support of internal systems and infrastructure and IT security. Products and technology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adjusted excludes stock-based compensation expense and related employer payroll tax.</w:t>
      </w:r>
    </w:p>
    <w:p>
      <w:pPr>
        <w:spacing w:after="0" w:line="94" w:lineRule="exact"/>
        <w:rPr>
          <w:rFonts w:ascii="Times New Roman" w:cs="Times New Roman" w:eastAsia="Times New Roman" w:hAnsi="Times New Roman"/>
          <w:sz w:val="23"/>
          <w:szCs w:val="23"/>
          <w:color w:val="auto"/>
          <w:vertAlign w:val="superscript"/>
        </w:rPr>
      </w:pPr>
    </w:p>
    <w:p>
      <w:pPr>
        <w:ind w:left="3" w:right="120" w:hanging="3"/>
        <w:spacing w:after="0" w:line="225" w:lineRule="auto"/>
        <w:tabs>
          <w:tab w:leader="none" w:pos="188"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Revenue enablement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expenses include costs for sales and marketing functions, including sales incentives, advertising costs, and event costs. Revenue enablement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excludes stock-based compensation expense and related employer payroll tax.</w:t>
      </w:r>
    </w:p>
    <w:p>
      <w:pPr>
        <w:spacing w:after="0" w:line="100" w:lineRule="exact"/>
        <w:rPr>
          <w:rFonts w:ascii="Times New Roman" w:cs="Times New Roman" w:eastAsia="Times New Roman" w:hAnsi="Times New Roman"/>
          <w:sz w:val="24"/>
          <w:szCs w:val="24"/>
          <w:color w:val="auto"/>
          <w:vertAlign w:val="superscript"/>
        </w:rPr>
      </w:pPr>
    </w:p>
    <w:p>
      <w:pPr>
        <w:ind w:left="3" w:right="20" w:hanging="3"/>
        <w:spacing w:after="0" w:line="241" w:lineRule="auto"/>
        <w:tabs>
          <w:tab w:leader="none" w:pos="188"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General corporate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expenses include costs for our executive management and administrative employees, including finance and accounting, human resources, facilities and legal functions. Additional expenses include professional service fees, insurance premiums and other corporate expenses that are not allocated to the other adjusted expense categories. General corporate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adjusted excludes stock-based compensation expense and related employer payroll tax, litigation proceeds and litigation costs in which the Company is the plaintiff and related antitrust matters, costs associated with the acquisition and integration of completed and potential mergers and acquisitions, costs related to equity transactions, including secondary offerings and debt refinancing costs.</w:t>
      </w:r>
    </w:p>
    <w:p>
      <w:pPr>
        <w:spacing w:after="0" w:line="105" w:lineRule="exact"/>
        <w:rPr>
          <w:rFonts w:ascii="Times New Roman" w:cs="Times New Roman" w:eastAsia="Times New Roman" w:hAnsi="Times New Roman"/>
          <w:sz w:val="24"/>
          <w:szCs w:val="24"/>
          <w:color w:val="auto"/>
          <w:vertAlign w:val="superscript"/>
        </w:rPr>
      </w:pPr>
    </w:p>
    <w:p>
      <w:pPr>
        <w:ind w:left="3" w:right="240" w:hanging="3"/>
        <w:spacing w:after="0" w:line="231" w:lineRule="auto"/>
        <w:tabs>
          <w:tab w:leader="none" w:pos="188"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Other segment items include those items excluded from the significant segment expense categories and identified in the above descriptions, adjustments for capitalized labor costs incurred on internal development projects, and expenses of an insignificant segment that does not meet the quantitative thresholds for determining reporting segments.</w:t>
      </w:r>
    </w:p>
    <w:p>
      <w:pPr>
        <w:spacing w:after="0" w:line="75" w:lineRule="exact"/>
        <w:rPr>
          <w:rFonts w:ascii="Times New Roman" w:cs="Times New Roman" w:eastAsia="Times New Roman" w:hAnsi="Times New Roman"/>
          <w:sz w:val="24"/>
          <w:szCs w:val="24"/>
          <w:color w:val="auto"/>
          <w:vertAlign w:val="superscript"/>
        </w:rPr>
      </w:pPr>
    </w:p>
    <w:p>
      <w:pPr>
        <w:ind w:left="183" w:hanging="183"/>
        <w:spacing w:after="0"/>
        <w:tabs>
          <w:tab w:leader="none" w:pos="183"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Significant non-cash items include changes in fair value of derivative instruments.</w:t>
      </w:r>
    </w:p>
    <w:p>
      <w:pPr>
        <w:spacing w:after="0" w:line="198"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color w:val="auto"/>
        </w:rPr>
        <w:t>Revenues by geographic area, presented based upon the location of the customer are as follows (in thousands):</w:t>
      </w:r>
    </w:p>
    <w:p>
      <w:pPr>
        <w:spacing w:after="0" w:line="27"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9" w:lineRule="exact"/>
        <w:rPr>
          <w:sz w:val="20"/>
          <w:szCs w:val="20"/>
          <w:color w:val="auto"/>
        </w:rPr>
      </w:pPr>
    </w:p>
    <w:p>
      <w:pPr>
        <w:jc w:val="center"/>
        <w:ind w:left="43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09"/>
        </w:trPr>
        <w:tc>
          <w:tcPr>
            <w:tcW w:w="2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18"/>
                <w:szCs w:val="18"/>
                <w:color w:val="auto"/>
              </w:rPr>
            </w:pPr>
          </w:p>
        </w:tc>
      </w:tr>
      <w:tr>
        <w:trPr>
          <w:trHeight w:val="210"/>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580" w:type="dxa"/>
            <w:vAlign w:val="bottom"/>
            <w:gridSpan w:val="2"/>
            <w:shd w:val="clear" w:color="auto" w:fill="CFF0FC"/>
          </w:tcPr>
          <w:p>
            <w:pPr>
              <w:jc w:val="right"/>
              <w:ind w:right="18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279,576</w:t>
            </w:r>
          </w:p>
        </w:tc>
        <w:tc>
          <w:tcPr>
            <w:tcW w:w="10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249,875</w:t>
            </w:r>
          </w:p>
        </w:tc>
        <w:tc>
          <w:tcPr>
            <w:tcW w:w="400" w:type="dxa"/>
            <w:vAlign w:val="bottom"/>
            <w:shd w:val="clear" w:color="auto" w:fill="CFF0FC"/>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4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400" w:type="dxa"/>
            <w:vAlign w:val="bottom"/>
          </w:tcPr>
          <w:p>
            <w:pPr>
              <w:spacing w:after="0"/>
              <w:rPr>
                <w:sz w:val="18"/>
                <w:szCs w:val="18"/>
                <w:color w:val="auto"/>
              </w:rPr>
            </w:pPr>
          </w:p>
        </w:tc>
      </w:tr>
      <w:tr>
        <w:trPr>
          <w:trHeight w:val="229"/>
        </w:trPr>
        <w:tc>
          <w:tcPr>
            <w:tcW w:w="26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shd w:val="clear" w:color="auto" w:fill="CFF0FC"/>
          </w:tcPr>
          <w:p>
            <w:pPr>
              <w:spacing w:after="0"/>
              <w:rPr>
                <w:sz w:val="19"/>
                <w:szCs w:val="19"/>
                <w:color w:val="auto"/>
              </w:rPr>
            </w:pPr>
          </w:p>
        </w:tc>
        <w:tc>
          <w:tcPr>
            <w:tcW w:w="2040" w:type="dxa"/>
            <w:vAlign w:val="bottom"/>
            <w:shd w:val="clear" w:color="auto" w:fill="CFF0FC"/>
          </w:tcPr>
          <w:p>
            <w:pPr>
              <w:jc w:val="right"/>
              <w:ind w:right="18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281,274</w:t>
            </w:r>
          </w:p>
        </w:tc>
        <w:tc>
          <w:tcPr>
            <w:tcW w:w="102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251,565</w:t>
            </w:r>
          </w:p>
        </w:tc>
        <w:tc>
          <w:tcPr>
            <w:tcW w:w="400" w:type="dxa"/>
            <w:vAlign w:val="bottom"/>
            <w:shd w:val="clear" w:color="auto" w:fill="CFF0FC"/>
          </w:tcPr>
          <w:p>
            <w:pPr>
              <w:spacing w:after="0"/>
              <w:rPr>
                <w:sz w:val="19"/>
                <w:szCs w:val="19"/>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-25400</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-7620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Software, equipment and property—Net by geographic area are as follows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168,814</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166,644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1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software, equipment and property—Net</w:t>
            </w:r>
          </w:p>
        </w:tc>
        <w:tc>
          <w:tcPr>
            <w:tcW w:w="3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169,007</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166,796</w:t>
            </w:r>
          </w:p>
        </w:tc>
        <w:tc>
          <w:tcPr>
            <w:tcW w:w="100" w:type="dxa"/>
            <w:vAlign w:val="bottom"/>
            <w:shd w:val="clear" w:color="auto" w:fill="CFF0FC"/>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4180" w:type="dxa"/>
            <w:vAlign w:val="bottom"/>
            <w:tcBorders>
              <w:top w:val="single" w:sz="8" w:color="CFF0FC"/>
            </w:tcBorders>
          </w:tcPr>
          <w:p>
            <w:pPr>
              <w:spacing w:after="0"/>
              <w:rPr>
                <w:sz w:val="24"/>
                <w:szCs w:val="24"/>
                <w:color w:val="auto"/>
              </w:rPr>
            </w:pPr>
          </w:p>
        </w:tc>
        <w:tc>
          <w:tcPr>
            <w:tcW w:w="3160" w:type="dxa"/>
            <w:vAlign w:val="bottom"/>
            <w:tcBorders>
              <w:top w:val="single" w:sz="8" w:color="CFF0FC"/>
            </w:tcBorders>
          </w:tcPr>
          <w:p>
            <w:pPr>
              <w:jc w:val="right"/>
              <w:ind w:right="211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-933450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-916305</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-933450</wp:posOffset>
            </wp:positionV>
            <wp:extent cx="596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-916305</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of our financial condition and results of operations should be read together with our unaudited condensed consolidated financial statements and related notes appearing elsewhere in this Quarterly Report on Form 10-Q. This discussion contains forward-looking statements that involve risks and uncertainties. Our actual results could differ materially from the forward-looking statements included herein. Factors that could cause or contribute to such differences include, but are not limited to, those identified below and those discussed in the section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as set forth elsewhere in this Quarterly Report on Form 10-Q.</w:t>
      </w:r>
    </w:p>
    <w:p>
      <w:pPr>
        <w:spacing w:after="0" w:line="75"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otherwise indicated or the context otherwise requires,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CCC,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other similar terms refer to CCC Intelligent Solutions Holdings Inc. and its consolidated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Founded in 1980, CCC is a leading Software as a Service (“SaaS”) and Artificial Intelligence (“AI”) platform provider for the multi-trillion-dollar insurance economy powering operations for insurers, repairers, automakers, part suppliers, and more. CCC cloud technology connects more than 35,000 businesses digitizing mission-critical workflows, commerce, and customer experiences. A trusted leader in AI, customer experience, network and workflow management, CCC delivers technology that turns crucial moments into intelligent experiences, with the goal of shaping a world where life just works.</w:t>
      </w:r>
    </w:p>
    <w:p>
      <w:pPr>
        <w:spacing w:after="0" w:line="7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Our business has been built upon two foundational pillars: automotive insurance claims and automotive collision repair. For decades we have delivered leading software solutions to both the insurance and repair industries, including pioneering Direct Repair Programs (“DRP”) in the United States (“U.S.”) beginning in 1992. DRP connects auto insurers and collision repair shops to create business value for both parties, and requires digital tools to facilitate interactions and manage partner programs. Insurer-to-shop DRP connections have created a strong network effect for CCC’s platform, as insurers and repairers both benefit by joining the largest network to maximize opportunities. This has led to a virtuous cycle in which more insurers on the platform drives more value for the collision shops on the platform, and vice versa.</w:t>
      </w:r>
    </w:p>
    <w:p>
      <w:pPr>
        <w:spacing w:after="0" w:line="79" w:lineRule="exact"/>
        <w:rPr>
          <w:sz w:val="20"/>
          <w:szCs w:val="20"/>
          <w:color w:val="auto"/>
        </w:rPr>
      </w:pPr>
    </w:p>
    <w:p>
      <w:pPr>
        <w:ind w:right="20" w:firstLine="509"/>
        <w:spacing w:after="0" w:line="273" w:lineRule="auto"/>
        <w:rPr>
          <w:sz w:val="20"/>
          <w:szCs w:val="20"/>
          <w:color w:val="auto"/>
        </w:rPr>
      </w:pPr>
      <w:r>
        <w:rPr>
          <w:rFonts w:ascii="Times New Roman" w:cs="Times New Roman" w:eastAsia="Times New Roman" w:hAnsi="Times New Roman"/>
          <w:sz w:val="17"/>
          <w:szCs w:val="17"/>
          <w:color w:val="auto"/>
        </w:rPr>
        <w:t>We believe we have become a leading insurance and repair SaaS and AI provider in the U.S. by increasing the depth and breadth of our SaaS offerings over many years. Our insurance solutions help insurance carriers manage mission-critical workflows across the claims lifecycle, while building intelligent experiences for their customers. Our software integrates seamlessly with both legacy and modern systems and enables insurers to rapidly innovate on our platform. Our repair solutions help collision repair facilities achieve better performance throughout the collision repair cycle by digitizing processes to drive business growth, streamline operations, and improve repair quality. We have more than 300 insurers on our network, connecting with more than 30,500 repair facilities through our multi-tenant cloud platform. We believe our software is the architectural backbone of insurance DRP systems and is a primary driver of material revenue for our collision repair shop customers and a source of material efficiencies for our insurance carrier customers.</w:t>
      </w:r>
    </w:p>
    <w:p>
      <w:pPr>
        <w:spacing w:after="0" w:line="63"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platform is designed to solve the “many-to-many” problem faced by the insurance economy. There are numerous internally and externally developed insurance software solutions in the market today, with the vast majority of applications focused on insurance-only use cases and not on serving the broader insurance ecosystem. We have prioritized building a leading network around our automotive insurance and collision repair pillars to further digitize interactions and maximize value for our customers. We have tens of thousands of companies on our platform that participate in the insurance economy, including insurers, repairers, parts suppliers, and automotive manufacturers. Our solutions create value for each of these parties by enabling them to connect to our vast network to collaborate with other companies, streamline operations, and reduce processing costs and dollars lost through claims management inefficiencies, or claims leakage. Expanding our platform has added new layers of network effects, further accelerating the adoption of our software solutions.</w:t>
      </w:r>
    </w:p>
    <w:p>
      <w:pPr>
        <w:spacing w:after="0" w:line="8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processed more than $2 trillion of historical data across our network, allowing us to build proprietary data assets that leverage insurance claims, vehicle repair, automotive parts and other vehicle-specific information. We believe we are uniquely positioned to provide data-driven insights, analytics, and AI-enhanced workflows that strengthen our solutions and improve business outcomes for our customers. Our AI solutions streamline existing insurance and repair processes including vehicle damage detection, claim triage, claim handling, repair estimating, intelligent claim review, and claim subrogation. We deliver real-world AI with more than 125 U.S. insurers and more than 15,000 U.S. collision repairers actively using AI-powered solutions in production environments.</w:t>
      </w:r>
    </w:p>
    <w:p>
      <w:pPr>
        <w:spacing w:after="0" w:line="7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One of the primary obstacles facing the insurance economy is increasing complexity which is driven by technological advancements, supply-chain disruption, social inflation, medical inflation, and Internet-of-Things (“IOT”) data. We believe digitization plays a critical role in managing this growing complexity while meeting consumer expectations. Our technology investments are focused on digitizing complex processes and interactions across our ecosystem, and we believe we are well positioned to power the insurance economy of the future with our data, network, and platform.</w:t>
      </w:r>
    </w:p>
    <w:p>
      <w:pPr>
        <w:spacing w:after="0" w:line="7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While our position in the insurance economy is grounded in the automotive insurance sector, the largest Property &amp; Casualty (“P&amp;C”) insurance sector in the U.S. representing nearly half of P&amp;C Direct Written Premium (“DWP”), we believe our integrations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p>
      <w:pPr>
        <w:ind w:right="80"/>
        <w:spacing w:after="0" w:line="258" w:lineRule="auto"/>
        <w:rPr>
          <w:sz w:val="20"/>
          <w:szCs w:val="20"/>
          <w:color w:val="auto"/>
        </w:rPr>
      </w:pPr>
      <w:r>
        <w:rPr>
          <w:rFonts w:ascii="Times New Roman" w:cs="Times New Roman" w:eastAsia="Times New Roman" w:hAnsi="Times New Roman"/>
          <w:sz w:val="18"/>
          <w:szCs w:val="18"/>
          <w:color w:val="auto"/>
        </w:rPr>
        <w:t>and cloud platform are capable of driving innovation across the broader insurance economy. Our customers are increasingly looking for CCC to expand its solutions to other parts of their business where they can benefit from our technology, service, and partnership. In response, we are investing in new solutions that we believe will enable us to digitize the entire automotive claims lifecycle, and over time expand into adjacencies including other insurance lines. For example, CCC’s acquisition of EvolutionIQ, Inc. (“EvolutionIQ”) in January 2025 added claims solutions in disability and workers’ compensation insurance lines to CCC’s solution suite.</w:t>
      </w:r>
    </w:p>
    <w:p>
      <w:pPr>
        <w:spacing w:after="0" w:line="7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strong customer relationships in the end-markets we serve, and these relationships are a key component of our success given the long-term nature of our contracts and the interconnectedness of our network. We have customer agreements with more than 300 insurers (including carriers, self-insurers and other entities processing insurance claims), including 27 of the top 30 automotive insurance carriers and 9 of the top 15 disability insurance carriers in the U.S., based on DWP, and hundreds of regional carriers. We have more than 35,000 total customers, including more than 30,500 automotive collision repair facilities (including repairers and other entities that estimate damaged vehicles), more than 6,000 parts and diagnostics suppliers, 14 of the top 15 automotive manufacturers based on vehicles in operation, and numerous other companies that participate in the insurance economy.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Measures and Operating Metrics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GAAP and non-GAAP financial measures, we rely on Software Net Dollar Retention Rate (“Software NDR”) and Software Gross Dollar Retention Rate (“Software GDR”) to measure and evaluate our business and to make strategic decisions. Software NDR and Software GDR may not be comparable to or calculated in the same way as other similarly titled measures used by other companies.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NDR</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Software NDR provides our management and our investors with insight into our ability to retain and grow revenue from our existing customers, as well as their potential long-term value to us. We also believe the results shown by this metric reflect the stability of our revenue base, which is one of our core competitive strengths. We calculate Software NDR by dividing (a) annualized software revenue recorded in the last month of the measurement period, for example, March for a quarter ending March 31, for unique billing accounts that generated revenue during the corresponding month of the prior year by (b) annualized software revenue as of the corresponding month of the prior year. The calculation includes changes for these billing accounts, such as changes in the solutions purchased, changes in pricing and transaction volume, but does not reflect revenue for new customers added. The calculation excludes: (a) changes in estimates related to the timing of one-time revenue and other revenue, including professional services, and</w:t>
      </w:r>
    </w:p>
    <w:p>
      <w:pPr>
        <w:spacing w:after="0" w:line="3" w:lineRule="exact"/>
        <w:rPr>
          <w:sz w:val="20"/>
          <w:szCs w:val="20"/>
          <w:color w:val="auto"/>
        </w:rPr>
      </w:pPr>
    </w:p>
    <w:p>
      <w:pPr>
        <w:ind w:right="40" w:firstLine="8"/>
        <w:spacing w:after="0" w:line="252"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 focus, and different tenure compared to our core customers (excluded small carriers and shops represent less than 5% of total revenue within these sales channels). Our Software NDR includes carriers and shops who subscribe to our auto physical damage solutions, and carriers who subscribe to our claims synthesis and claims guidance solutions, which account for most of the Company’s revenue, and excludes revenue from smaller emerging solutions with international subsidiaries or other ecosystem solutions, such as parts suppliers and other automotive manufacturers, and also excludes CCC casualty solutions which are largely usage and professional service based.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p>
        </w:tc>
        <w:tc>
          <w:tcPr>
            <w:tcW w:w="1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NDR</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w:t>
            </w:r>
          </w:p>
        </w:tc>
        <w:tc>
          <w:tcPr>
            <w:tcW w:w="1720" w:type="dxa"/>
            <w:vAlign w:val="bottom"/>
            <w:gridSpan w:val="2"/>
            <w:shd w:val="clear" w:color="auto" w:fill="CFF0FC"/>
          </w:tcPr>
          <w:p>
            <w:pPr>
              <w:jc w:val="right"/>
              <w:ind w:right="470"/>
              <w:spacing w:after="0"/>
              <w:rPr>
                <w:sz w:val="20"/>
                <w:szCs w:val="20"/>
                <w:color w:val="auto"/>
              </w:rPr>
            </w:pPr>
            <w:r>
              <w:rPr>
                <w:rFonts w:ascii="Times New Roman" w:cs="Times New Roman" w:eastAsia="Times New Roman" w:hAnsi="Times New Roman"/>
                <w:sz w:val="18"/>
                <w:szCs w:val="18"/>
                <w:color w:val="auto"/>
              </w:rPr>
              <w:t>107%</w:t>
            </w:r>
          </w:p>
        </w:tc>
        <w:tc>
          <w:tcPr>
            <w:tcW w:w="1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107%</w:t>
            </w:r>
          </w:p>
        </w:tc>
      </w:tr>
      <w:tr>
        <w:trPr>
          <w:trHeight w:val="216"/>
        </w:trPr>
        <w:tc>
          <w:tcPr>
            <w:tcW w:w="6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107%</w:t>
            </w:r>
          </w:p>
        </w:tc>
      </w:tr>
      <w:tr>
        <w:trPr>
          <w:trHeight w:val="216"/>
        </w:trPr>
        <w:tc>
          <w:tcPr>
            <w:tcW w:w="6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105%</w:t>
            </w:r>
          </w:p>
        </w:tc>
      </w:tr>
      <w:tr>
        <w:trPr>
          <w:trHeight w:val="234"/>
        </w:trPr>
        <w:tc>
          <w:tcPr>
            <w:tcW w:w="62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Software GDR</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Software GDR provides our management and our investors with insight into the value our solutions provide to our customers as represented by our ability to retain our existing customer base. We believe the results shown by this metric reflect the strength and stability of our revenue base, which is one of our core competitive strengths. We calculate Software GDR by dividing (a) annualized software revenue recorded in the last month of the measurement period in the prior year, reduced by annualized software revenue for unique billing accounts that are no longer customers as of the current period end by (b) annualized software revenue as of the corresponding month of the prior year. The calculation reflects only customer losses and does not reflect customer expansion or contraction for these billing accounts and does not reflect revenue for new customer billing accounts added. Our Software GDR calculation represents our annualized software revenue that is retained from the prior year and demonstrates that the vast majority of our customers continue to use our solutions and renew their subscriptions. The calculation excludes: (a) changes in estimates related to the timing of one-time revenue and other revenue, including professional services, and (b) annualized software revenue for smaller customers with annualized software revenue below the threshold of $100,000 for carriers and $4,000 for shops. The customers that do not meet the revenue threshold are small carriers and shops that tend to have different buying behaviors, with a narrower solution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ind w:right="80"/>
        <w:spacing w:after="0" w:line="258" w:lineRule="auto"/>
        <w:rPr>
          <w:sz w:val="20"/>
          <w:szCs w:val="20"/>
          <w:color w:val="auto"/>
        </w:rPr>
      </w:pPr>
      <w:r>
        <w:rPr>
          <w:rFonts w:ascii="Times New Roman" w:cs="Times New Roman" w:eastAsia="Times New Roman" w:hAnsi="Times New Roman"/>
          <w:sz w:val="18"/>
          <w:szCs w:val="18"/>
          <w:color w:val="auto"/>
        </w:rPr>
        <w:t>focus, and different tenure compared to our core customers (excluded small carriers and shops which represent less than 5% of total revenue within these sales channels). Our Software GDR includes carriers and shops who subscribe to our auto physical damage solutions, and carriers who subscribe to our claims synthesis and claims guidance solutions, which account for most of the Company’s revenue, and excludes revenue from smaller emerging solutions with international subsidiaries or other ecosystem solutions, such as parts suppliers and other automotive manufacturers, and excludes CCC casualty solutions which are largely usage and professional service based.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60" w:type="dxa"/>
            <w:vAlign w:val="bottom"/>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09"/>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GDR</w:t>
            </w:r>
          </w:p>
        </w:tc>
        <w:tc>
          <w:tcPr>
            <w:tcW w:w="29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w:t>
            </w:r>
          </w:p>
        </w:tc>
        <w:tc>
          <w:tcPr>
            <w:tcW w:w="172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98%</w:t>
            </w:r>
          </w:p>
        </w:tc>
        <w:tc>
          <w:tcPr>
            <w:tcW w:w="17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99%</w:t>
            </w:r>
          </w:p>
        </w:tc>
      </w:tr>
      <w:tr>
        <w:trPr>
          <w:trHeight w:val="216"/>
        </w:trPr>
        <w:tc>
          <w:tcPr>
            <w:tcW w:w="3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7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99%</w:t>
            </w:r>
          </w:p>
        </w:tc>
      </w:tr>
      <w:tr>
        <w:trPr>
          <w:trHeight w:val="216"/>
        </w:trPr>
        <w:tc>
          <w:tcPr>
            <w:tcW w:w="3300" w:type="dxa"/>
            <w:vAlign w:val="bottom"/>
            <w:shd w:val="clear" w:color="auto" w:fill="CFF0FC"/>
          </w:tcPr>
          <w:p>
            <w:pPr>
              <w:spacing w:after="0"/>
              <w:rPr>
                <w:sz w:val="18"/>
                <w:szCs w:val="18"/>
                <w:color w:val="auto"/>
              </w:rPr>
            </w:pPr>
          </w:p>
        </w:tc>
        <w:tc>
          <w:tcPr>
            <w:tcW w:w="29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6"/>
              </w:rPr>
              <w:t>99%</w:t>
            </w:r>
          </w:p>
        </w:tc>
      </w:tr>
      <w:tr>
        <w:trPr>
          <w:trHeight w:val="234"/>
        </w:trPr>
        <w:tc>
          <w:tcPr>
            <w:tcW w:w="3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7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6"/>
              </w:rPr>
              <w:t>99%</w:t>
            </w:r>
          </w:p>
        </w:tc>
      </w:tr>
      <w:tr>
        <w:trPr>
          <w:trHeight w:val="738"/>
        </w:trPr>
        <w:tc>
          <w:tcPr>
            <w:tcW w:w="3300" w:type="dxa"/>
            <w:vAlign w:val="bottom"/>
          </w:tcPr>
          <w:p>
            <w:pPr>
              <w:spacing w:after="0"/>
              <w:rPr>
                <w:sz w:val="24"/>
                <w:szCs w:val="24"/>
                <w:color w:val="auto"/>
              </w:rPr>
            </w:pPr>
          </w:p>
        </w:tc>
        <w:tc>
          <w:tcPr>
            <w:tcW w:w="29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w:t>
            </w: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to the three months ended March 31, 2025</w:t>
      </w:r>
    </w:p>
    <w:p>
      <w:pPr>
        <w:sectPr>
          <w:pgSz w:w="11900" w:h="16838" w:orient="portrait"/>
          <w:cols w:equalWidth="0" w:num="1">
            <w:col w:w="11240"/>
          </w:cols>
          <w:pgMar w:left="320" w:top="1197" w:right="3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(dollar 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333438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5715</wp:posOffset>
            </wp:positionV>
            <wp:extent cx="17741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ind w:left="300"/>
        <w:spacing w:after="0"/>
        <w:tabs>
          <w:tab w:leader="none" w:pos="1800" w:val="left"/>
          <w:tab w:leader="none" w:pos="3460" w:val="left"/>
          <w:tab w:leader="none" w:pos="484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358330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720"/>
            <w:col w:w="5680"/>
          </w:cols>
          <w:pgMar w:left="320" w:top="1197"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281,274</w:t>
            </w:r>
          </w:p>
        </w:tc>
        <w:tc>
          <w:tcPr>
            <w:tcW w:w="16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251,565</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revenues, exclusive of amortization of acquired technologies</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Amortization of acquired technologies</w:t>
            </w: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0"/>
        </w:trPr>
        <w:tc>
          <w:tcPr>
            <w:tcW w:w="5400" w:type="dxa"/>
            <w:vAlign w:val="bottom"/>
          </w:tcPr>
          <w:p>
            <w:pPr>
              <w:spacing w:after="0" w:line="21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4"/>
                <w:szCs w:val="24"/>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66,573</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208,879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184,992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23,887</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61,763</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(9,239)</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Selling and marketing</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(8,879)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line="21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49,608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67,119</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(17,511)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160,062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195,691</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(35,629)</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(10,699)</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59,516</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(16,926)</w:t>
            </w:r>
          </w:p>
        </w:tc>
        <w:tc>
          <w:tcPr>
            <w:tcW w:w="4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(3,374)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(1,006)</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(5,097)</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(15,392)</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(20,075)</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(30,774)</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64,199</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(31,361)</w:t>
            </w:r>
          </w:p>
        </w:tc>
        <w:tc>
          <w:tcPr>
            <w:tcW w:w="10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including non-controlling interest</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(17,421)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32,838</w:t>
            </w:r>
          </w:p>
        </w:tc>
        <w:tc>
          <w:tcPr>
            <w:tcW w:w="4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accretion of redeemable non-controlling interest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(1,276)</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(loss) attributable to CCC Intelligent Solutions Holdings</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60" w:type="dxa"/>
            <w:vAlign w:val="bottom"/>
          </w:tcPr>
          <w:p>
            <w:pPr>
              <w:spacing w:after="0"/>
              <w:rPr>
                <w:sz w:val="16"/>
                <w:szCs w:val="16"/>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(18,697)</w:t>
            </w:r>
          </w:p>
        </w:tc>
        <w:tc>
          <w:tcPr>
            <w:tcW w:w="400" w:type="dxa"/>
            <w:vAlign w:val="bottom"/>
            <w:vMerge w:val="restart"/>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34,114</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Inc. common stockholders</w:t>
            </w:r>
          </w:p>
        </w:tc>
        <w:tc>
          <w:tcPr>
            <w:tcW w:w="2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income (loss) per share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common stockholders: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587,380,660</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636,832,216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0" w:type="dxa"/>
            <w:vAlign w:val="bottom"/>
          </w:tcPr>
          <w:p>
            <w:pPr>
              <w:ind w:left="10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7"/>
                <w:szCs w:val="17"/>
                <w:color w:val="auto"/>
              </w:rPr>
            </w:pPr>
          </w:p>
        </w:tc>
        <w:tc>
          <w:tcPr>
            <w:tcW w:w="10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607,022,694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636,832,216</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NM—Not Meaningful</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-4045585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-4045585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-4045585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-2922905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-2922905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-2922905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-2082165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-2082165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-2082165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-1799590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-1799590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-1799590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-1517015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-1517015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-1517015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ind w:left="200" w:hanging="192"/>
        <w:spacing w:after="0"/>
        <w:tabs>
          <w:tab w:leader="none" w:pos="20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stock-based compensation expense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7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shd w:val="clear" w:color="auto" w:fill="CFF0FC"/>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17,601</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20" w:type="dxa"/>
            <w:vAlign w:val="bottom"/>
            <w:shd w:val="clear" w:color="auto" w:fill="CFF0FC"/>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27,634</w:t>
            </w: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50"/>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31,871</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61,048</w:t>
            </w:r>
          </w:p>
        </w:tc>
        <w:tc>
          <w:tcPr>
            <w:tcW w:w="120" w:type="dxa"/>
            <w:vAlign w:val="bottom"/>
            <w:tcBorders>
              <w:bottom w:val="single" w:sz="8" w:color="CFF0FC"/>
            </w:tcBorders>
            <w:shd w:val="clear" w:color="auto" w:fill="CFF0FC"/>
          </w:tcPr>
          <w:p>
            <w:pPr>
              <w:spacing w:after="0"/>
              <w:rPr>
                <w:sz w:val="21"/>
                <w:szCs w:val="21"/>
                <w:color w:val="auto"/>
              </w:rPr>
            </w:pPr>
          </w:p>
        </w:tc>
        <w:tc>
          <w:tcPr>
            <w:tcW w:w="2920" w:type="dxa"/>
            <w:vAlign w:val="bottom"/>
          </w:tcPr>
          <w:p>
            <w:pPr>
              <w:spacing w:after="0"/>
              <w:rPr>
                <w:sz w:val="21"/>
                <w:szCs w:val="21"/>
                <w:color w:val="auto"/>
              </w:rPr>
            </w:pPr>
          </w:p>
        </w:tc>
      </w:tr>
      <w:tr>
        <w:trPr>
          <w:trHeight w:val="628"/>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99"/>
              </w:rPr>
              <w:t>32</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-933450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-916305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-933450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-916305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Revenues increased by $29.7 million to $281.3 million, or 11.8%, for the three months ended March 31, 2026, compared to the three months ended March 31, 2025. The Company’s software subscription revenues accounted for $270.1 million and $242.5 million, or 96% of total revenue, during the three months ended March 31, 2026 and 2025.</w:t>
      </w:r>
    </w:p>
    <w:p>
      <w:pPr>
        <w:spacing w:after="0" w:line="68"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increase in revenue was primarily a result of 9% growth from existing customer upgrades and expanding solution offerings to these existing customers and 3% growth from new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increased by $5.8 million to $72.4 million, or 8.7%, for the three months ended March 31, 2026, compared to the three months ended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exclusive of amortization of acquired technologies</w:t>
      </w:r>
    </w:p>
    <w:p>
      <w:pPr>
        <w:spacing w:after="0" w:line="119"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Cost of revenues, exclusive of amortization of acquired technologies, increased by $5.8 million to $68.0 million, or 9.3%, for the three months ended March 31, 2026, compared to the three months ended March 31, 2025. The increase was primarily due to a $3.3 million increase in information technology (“IT”) related costs and a $2.3 million increase in personnel-related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Technologies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acquired technologies was $4.4 million for the three months ended March 31, 2026 and three months ended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Gross profit increased by $23.9 million to $208.9 million, or 12.9%, for the three months ended March 31, 2026, compared to the three months ended March 31, 2025. Our gross profit margin was 74.3% for the three months ended March 31, 2026, compared to 73.5% for the three months ended March 31, 2025. The increase in gross profit was due to increased software subscription revenues and economies of scale resulting from fixed cost arrangements.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by $9.3 million to $52.5 million, or 15.0%, for the three months ended March 31, 2026, compared to the three months ended March 31, 2025. The decrease was primarily due to a $6.3 million decrease in stock-based compensation expense, a $4.9 million decrease in IT related costs, partially offset by a $3.1 million increase in personnel and resource related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 decreased by $8.9 million to $39.4 million, or 18.4%, for the three months ended March 31, 2026, compared to the three months ended March 31, 2025. The decrease was due to a $3.9 million decrease in personnel-related costs and a $5.0 million decrease in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decreased by $17.5 million to $49.6 million, or 26.1%, for the three months ended March 31, 2026, compared to the three months ended March 31, 2025. The decrease was primarily due to a $17.2 million decrease in stock-based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of intangible assets was $18.5 million for the three months ended March 31,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by $3.4 million to $20.3 million, or 19.9%, for the three months ended March 31, 2026, compared to the three months ended March 31, 2025. The increase was due to the interest incurred on an additional $300 million term loan as part of the fifth amendment to the 2021 credit agreement entered into in December 2025, partially offset by lower variable interest rates during the three months ended March 31, 2026.</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3" w:name="page34"/>
    <w:bookmarkEnd w:id="33"/>
    <w:p>
      <w:pPr>
        <w:spacing w:after="0" w:line="196" w:lineRule="auto"/>
        <w:framePr w:w="2260" w:h="160" w:wrap="auto" w:vAnchor="page" w:hAnchor="page" w:x="340" w:y="11887"/>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Adjusted Operating Expenses</w:t>
      </w:r>
    </w:p>
    <w:p>
      <w:pPr>
        <w:ind w:firstLine="509"/>
        <w:spacing w:after="0" w:line="228" w:lineRule="auto"/>
        <w:framePr w:w="11020" w:h="592" w:wrap="auto" w:vAnchor="page" w:hAnchor="page" w:x="280" w:y="12211"/>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believe that Adjusted Operating Expenses, as defined below, provides meaningful supplemental information regarding our performance by excluding certain items that may not be indicative of our recurring core business operating results. Adjusted Operating Expenses is defined as operating expenses adjusted for amortization of intangible assets, stock-based compensation expense and</w:t>
      </w:r>
    </w:p>
    <w:p>
      <w:pPr>
        <w:ind w:firstLine="509"/>
        <w:spacing w:after="0" w:line="185" w:lineRule="auto"/>
        <w:framePr w:w="260" w:h="160" w:wrap="auto" w:vAnchor="page" w:hAnchor="page" w:x="5820" w:y="13075"/>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34</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rFonts w:ascii="Times New Roman" w:cs="Times New Roman" w:eastAsia="Times New Roman" w:hAnsi="Times New Roman"/>
          <w:sz w:val="18"/>
          <w:szCs w:val="18"/>
          <w:b w:val="1"/>
          <w:bCs w:val="1"/>
          <w:i w:val="1"/>
          <w:iCs w:val="1"/>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Interest income decreased by $1.0 million to $0.9 million, or 51.6%, for the three months ended March 31, 2026, compared to the three months ended March 31, 2025, due to lower average balances on interest earning deposits and money market funds during the three months ended March 31, 2026.</w:t>
      </w:r>
    </w:p>
    <w:p>
      <w:pPr>
        <w:spacing w:after="0" w:line="158" w:lineRule="exact"/>
        <w:rPr>
          <w:rFonts w:ascii="Times New Roman" w:cs="Times New Roman" w:eastAsia="Times New Roman" w:hAnsi="Times New Roman"/>
          <w:sz w:val="18"/>
          <w:szCs w:val="18"/>
          <w:b w:val="1"/>
          <w:bCs w:val="1"/>
          <w:i w:val="1"/>
          <w:iCs w:val="1"/>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Net</w:t>
      </w:r>
    </w:p>
    <w:p>
      <w:pPr>
        <w:spacing w:after="0" w:line="121" w:lineRule="exact"/>
        <w:rPr>
          <w:rFonts w:ascii="Times New Roman" w:cs="Times New Roman" w:eastAsia="Times New Roman" w:hAnsi="Times New Roman"/>
          <w:sz w:val="18"/>
          <w:szCs w:val="18"/>
          <w:b w:val="1"/>
          <w:bCs w:val="1"/>
          <w:i w:val="1"/>
          <w:iCs w:val="1"/>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recognized other income—Net of $4.0 million for the three months ended March 31, 2026 compared to other expense—Net of $5.1 million for the three months ended March 31, 2025. The income recognized during the three months ended March 31, 2026 was primarily due to the decrease in the fair value of derivative instrument liabilities, driven by the fair value of the Company’s three interest rate swap agreements. The expense recognized during the three months ended March 31, 2025 was primarily due to the increase in the fair value of derivative instruments liabilities, driven by the fair value of the Company's three interest rate swap agreements entered into during the three months ended March 31, 2025.</w:t>
      </w:r>
    </w:p>
    <w:p>
      <w:pPr>
        <w:spacing w:after="0" w:line="179" w:lineRule="exact"/>
        <w:rPr>
          <w:rFonts w:ascii="Times New Roman" w:cs="Times New Roman" w:eastAsia="Times New Roman" w:hAnsi="Times New Roman"/>
          <w:sz w:val="18"/>
          <w:szCs w:val="18"/>
          <w:b w:val="1"/>
          <w:bCs w:val="1"/>
          <w:i w:val="1"/>
          <w:iCs w:val="1"/>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21" w:lineRule="exact"/>
        <w:rPr>
          <w:rFonts w:ascii="Times New Roman" w:cs="Times New Roman" w:eastAsia="Times New Roman" w:hAnsi="Times New Roman"/>
          <w:sz w:val="18"/>
          <w:szCs w:val="18"/>
          <w:b w:val="1"/>
          <w:bCs w:val="1"/>
          <w:i w:val="1"/>
          <w:iCs w:val="1"/>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recognized an income tax provision of $18.0 million and an income tax benefit of $13.4 million for the three months ended March 31, 2026 and 2025, respectively. The income tax provision during the three months ended March 31, 2026 was primarily due to the Company's pre-tax book income, as well as the tax impact related to stock-based compensation expense. The income tax benefit for the three months ended March 31, 2025 was primarily due to the Company’s pre-tax book loss.</w:t>
      </w:r>
    </w:p>
    <w:p>
      <w:pPr>
        <w:spacing w:after="0" w:line="176" w:lineRule="exact"/>
        <w:rPr>
          <w:rFonts w:ascii="Times New Roman" w:cs="Times New Roman" w:eastAsia="Times New Roman" w:hAnsi="Times New Roman"/>
          <w:sz w:val="18"/>
          <w:szCs w:val="18"/>
          <w:b w:val="1"/>
          <w:bCs w:val="1"/>
          <w:i w:val="1"/>
          <w:iCs w:val="1"/>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rFonts w:ascii="Times New Roman" w:cs="Times New Roman" w:eastAsia="Times New Roman" w:hAnsi="Times New Roman"/>
          <w:sz w:val="18"/>
          <w:szCs w:val="18"/>
          <w:b w:val="1"/>
          <w:bCs w:val="1"/>
          <w:i w:val="1"/>
          <w:iCs w:val="1"/>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that Adjusted Gross Profit, Adjusted Operating Expenses, Adjusted Operating Income, Adjusted EBITDA, Adjusted Net Income and Adjusted Earnings Per Share, and Free Cash Flow, which are each non-GAAP measures, are useful in evaluating our operational performance. We use this non-GAAP financial information to evaluate our ongoing operations and for internal planning, budgeting and forecasting purposes and setting management bonus programs. We believe that non-GAAP financial information, when taken collectively with GAAP measures, may be helpful to investors in assessing our operating performance and comparing our performance with competitors and other comparable companies, which may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These non-GAAP measures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186" w:lineRule="exact"/>
        <w:rPr>
          <w:rFonts w:ascii="Times New Roman" w:cs="Times New Roman" w:eastAsia="Times New Roman" w:hAnsi="Times New Roman"/>
          <w:sz w:val="18"/>
          <w:szCs w:val="18"/>
          <w:b w:val="1"/>
          <w:bCs w:val="1"/>
          <w:i w:val="1"/>
          <w:iCs w:val="1"/>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w:t>
      </w:r>
    </w:p>
    <w:p>
      <w:pPr>
        <w:spacing w:after="0" w:line="121" w:lineRule="exact"/>
        <w:rPr>
          <w:rFonts w:ascii="Times New Roman" w:cs="Times New Roman" w:eastAsia="Times New Roman" w:hAnsi="Times New Roman"/>
          <w:sz w:val="18"/>
          <w:szCs w:val="18"/>
          <w:b w:val="1"/>
          <w:bCs w:val="1"/>
          <w:i w:val="1"/>
          <w:iCs w:val="1"/>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We believe that Adjusted Gross Profit, as defined below, provides meaningful supplemental information regarding our performance by excluding certain items that may not be indicative of our recurring core business operating results. Adjusted Gross Profit is defined as gross profit, adjusted for amortization of acquired technologies and stock-based compensation and related employer payroll tax, which are not indicative of our recurring core business operating results. Adjusted Gross Profit Margin is defined as Adjusted Gross Profit divided by Revenue.</w:t>
      </w:r>
    </w:p>
    <w:p>
      <w:pPr>
        <w:spacing w:after="0" w:line="72" w:lineRule="exact"/>
        <w:rPr>
          <w:rFonts w:ascii="Times New Roman" w:cs="Times New Roman" w:eastAsia="Times New Roman" w:hAnsi="Times New Roman"/>
          <w:sz w:val="18"/>
          <w:szCs w:val="18"/>
          <w:b w:val="1"/>
          <w:bCs w:val="1"/>
          <w:i w:val="1"/>
          <w:iCs w:val="1"/>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Gross Profit to Adjusted Gross Profit for the three months ended March 31, 2026 and 2025:</w:t>
      </w:r>
    </w:p>
    <w:p>
      <w:pPr>
        <w:spacing w:after="0" w:line="27" w:lineRule="exact"/>
        <w:rPr>
          <w:rFonts w:ascii="Times New Roman" w:cs="Times New Roman" w:eastAsia="Times New Roman" w:hAnsi="Times New Roman"/>
          <w:sz w:val="18"/>
          <w:szCs w:val="18"/>
          <w:b w:val="1"/>
          <w:bCs w:val="1"/>
          <w:i w:val="1"/>
          <w:iCs w:val="1"/>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column">
              <wp:posOffset>5594350</wp:posOffset>
            </wp:positionH>
            <wp:positionV relativeFrom="paragraph">
              <wp:posOffset>571500</wp:posOffset>
            </wp:positionV>
            <wp:extent cx="1111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571500</wp:posOffset>
            </wp:positionV>
            <wp:extent cx="1117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123"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72" w:lineRule="exact"/>
        <w:rPr>
          <w:rFonts w:ascii="Times New Roman" w:cs="Times New Roman" w:eastAsia="Times New Roman" w:hAnsi="Times New Roman"/>
          <w:sz w:val="18"/>
          <w:szCs w:val="18"/>
          <w:b w:val="1"/>
          <w:bCs w:val="1"/>
          <w:i w:val="1"/>
          <w:iCs w:val="1"/>
          <w:color w:val="auto"/>
        </w:rPr>
      </w:pPr>
    </w:p>
    <w:tbl>
      <w:tblPr>
        <w:tblLayout w:type="fixed"/>
        <w:tblInd w:w="0" w:type="dxa"/>
        <w:tblCellMar>
          <w:top w:w="0" w:type="dxa"/>
          <w:left w:w="0" w:type="dxa"/>
          <w:bottom w:w="0" w:type="dxa"/>
          <w:right w:w="0" w:type="dxa"/>
        </w:tblCellMar>
      </w:tblPr>
      <w:tr>
        <w:trPr>
          <w:trHeight w:val="0"/>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percentages)</w:t>
            </w:r>
          </w:p>
        </w:tc>
        <w:tc>
          <w:tcPr>
            <w:tcW w:w="36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line="20" w:lineRule="exact"/>
              <w:rPr>
                <w:sz w:val="1"/>
                <w:szCs w:val="1"/>
                <w:color w:val="auto"/>
              </w:rPr>
            </w:pPr>
          </w:p>
        </w:tc>
      </w:tr>
      <w:tr>
        <w:trPr>
          <w:trHeight w:val="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208,879</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184,992</w:t>
            </w:r>
          </w:p>
        </w:tc>
        <w:tc>
          <w:tcPr>
            <w:tcW w:w="380" w:type="dxa"/>
            <w:vAlign w:val="bottom"/>
            <w:shd w:val="clear" w:color="auto" w:fill="CFF0FC"/>
          </w:tcPr>
          <w:p>
            <w:pPr>
              <w:spacing w:after="0" w:line="20" w:lineRule="exact"/>
              <w:rPr>
                <w:sz w:val="1"/>
                <w:szCs w:val="1"/>
                <w:color w:val="auto"/>
              </w:rPr>
            </w:pPr>
          </w:p>
        </w:tc>
      </w:tr>
      <w:tr>
        <w:trPr>
          <w:trHeight w:val="0"/>
        </w:trPr>
        <w:tc>
          <w:tcPr>
            <w:tcW w:w="7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acquired technologies</w:t>
            </w:r>
          </w:p>
        </w:tc>
        <w:tc>
          <w:tcPr>
            <w:tcW w:w="360" w:type="dxa"/>
            <w:vAlign w:val="bottom"/>
          </w:tcPr>
          <w:p>
            <w:pPr>
              <w:spacing w:after="0" w:line="20" w:lineRule="exact"/>
              <w:rPr>
                <w:sz w:val="1"/>
                <w:szCs w:val="1"/>
                <w:color w:val="auto"/>
              </w:rPr>
            </w:pP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4,368</w:t>
            </w:r>
          </w:p>
        </w:tc>
        <w:tc>
          <w:tcPr>
            <w:tcW w:w="380" w:type="dxa"/>
            <w:vAlign w:val="bottom"/>
          </w:tcPr>
          <w:p>
            <w:pPr>
              <w:spacing w:after="0" w:line="20" w:lineRule="exact"/>
              <w:rPr>
                <w:sz w:val="1"/>
                <w:szCs w:val="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380" w:type="dxa"/>
            <w:vAlign w:val="bottom"/>
          </w:tcPr>
          <w:p>
            <w:pPr>
              <w:spacing w:after="0" w:line="20" w:lineRule="exact"/>
              <w:rPr>
                <w:sz w:val="1"/>
                <w:szCs w:val="1"/>
                <w:color w:val="auto"/>
              </w:rPr>
            </w:pPr>
          </w:p>
        </w:tc>
      </w:tr>
      <w:tr>
        <w:trPr>
          <w:trHeight w:val="0"/>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and related employer payroll tax</w:t>
            </w:r>
          </w:p>
        </w:tc>
        <w:tc>
          <w:tcPr>
            <w:tcW w:w="36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2,382</w:t>
            </w:r>
          </w:p>
        </w:tc>
        <w:tc>
          <w:tcPr>
            <w:tcW w:w="3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380" w:type="dxa"/>
            <w:vAlign w:val="bottom"/>
            <w:shd w:val="clear" w:color="auto" w:fill="CFF0FC"/>
          </w:tcPr>
          <w:p>
            <w:pPr>
              <w:spacing w:after="0" w:line="20" w:lineRule="exact"/>
              <w:rPr>
                <w:sz w:val="1"/>
                <w:szCs w:val="1"/>
                <w:color w:val="auto"/>
              </w:rPr>
            </w:pPr>
          </w:p>
        </w:tc>
      </w:tr>
      <w:tr>
        <w:trPr>
          <w:trHeight w:val="0"/>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215,629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192,461</w:t>
            </w:r>
          </w:p>
        </w:tc>
        <w:tc>
          <w:tcPr>
            <w:tcW w:w="380" w:type="dxa"/>
            <w:vAlign w:val="bottom"/>
          </w:tcPr>
          <w:p>
            <w:pPr>
              <w:spacing w:after="0" w:line="20" w:lineRule="exact"/>
              <w:rPr>
                <w:sz w:val="1"/>
                <w:szCs w:val="1"/>
                <w:color w:val="auto"/>
              </w:rPr>
            </w:pPr>
          </w:p>
        </w:tc>
      </w:tr>
      <w:tr>
        <w:trPr>
          <w:trHeight w:val="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shd w:val="clear" w:color="auto" w:fill="CFF0FC"/>
          </w:tcPr>
          <w:p>
            <w:pPr>
              <w:spacing w:after="0" w:line="20" w:lineRule="exact"/>
              <w:rPr>
                <w:sz w:val="1"/>
                <w:szCs w:val="1"/>
                <w:color w:val="auto"/>
              </w:rPr>
            </w:pPr>
          </w:p>
        </w:tc>
        <w:tc>
          <w:tcPr>
            <w:tcW w:w="16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Margin</w:t>
            </w:r>
          </w:p>
        </w:tc>
        <w:tc>
          <w:tcPr>
            <w:tcW w:w="360" w:type="dxa"/>
            <w:vAlign w:val="bottom"/>
          </w:tcPr>
          <w:p>
            <w:pPr>
              <w:spacing w:after="0"/>
              <w:rPr>
                <w:sz w:val="20"/>
                <w:szCs w:val="20"/>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38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r>
      <w:tr>
        <w:trPr>
          <w:trHeight w:val="543"/>
        </w:trPr>
        <w:tc>
          <w:tcPr>
            <w:tcW w:w="7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spacing w:after="0" w:line="185" w:lineRule="auto"/>
        <w:framePr w:w="1460" w:h="160" w:wrap="auto" w:vAnchor="page" w:hAnchor="page" w:x="280" w:y="8944"/>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Adjusted EBITDA</w:t>
      </w:r>
    </w:p>
    <w:p>
      <w:pPr>
        <w:ind w:firstLine="509"/>
        <w:spacing w:after="0" w:line="239" w:lineRule="auto"/>
        <w:framePr w:w="11100" w:h="1240" w:wrap="auto" w:vAnchor="page" w:hAnchor="page" w:x="280" w:y="9268"/>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believe that Adjusted EBITDA, as defined below, is useful in evaluating our operational performance distinct and apart from financing costs, certain expenses and non-operational expenses. Adjusted EBITDA is defined as net income (loss) adjusted for interest, taxes, amortization of intangible assets and acquired technologies, depreciation, stock-based compensation expense and related employer payroll tax, costs associated with the acquisition and integration of completed and potential M&amp;A, litigation proceeds, debt refinancing costs, costs related to equity transactions, including secondary offerings, change in fair value of derivative instruments, and income from derivative instruments. Adjusted EBITDA Margin is defined as Adjusted EBITDA divided by Revenue.</w:t>
      </w:r>
    </w:p>
    <w:p>
      <w:pPr>
        <w:ind w:firstLine="509"/>
        <w:spacing w:after="0" w:line="185" w:lineRule="auto"/>
        <w:framePr w:w="260" w:h="160" w:wrap="auto" w:vAnchor="page" w:hAnchor="page" w:x="5820" w:y="1078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35</w:t>
      </w:r>
    </w:p>
    <w:p>
      <w:pPr>
        <w:ind w:right="80"/>
        <w:spacing w:after="0" w:line="266" w:lineRule="auto"/>
        <w:rPr>
          <w:sz w:val="20"/>
          <w:szCs w:val="20"/>
          <w:color w:val="auto"/>
        </w:rPr>
      </w:pPr>
      <w:r>
        <w:rPr>
          <w:rFonts w:ascii="Times New Roman" w:cs="Times New Roman" w:eastAsia="Times New Roman" w:hAnsi="Times New Roman"/>
          <w:sz w:val="18"/>
          <w:szCs w:val="18"/>
          <w:color w:val="auto"/>
        </w:rPr>
        <w:t>related employer payroll tax, costs associated with the acquisition and integration of completed and potential mergers and acquisitions (“M&amp;A”), litigation proceeds for matters in which we are the plaintiff and related antitrust matters, debt refinancing costs and costs related to equity transactions, including secondary offerings.</w:t>
      </w:r>
    </w:p>
    <w:p>
      <w:pPr>
        <w:spacing w:after="0" w:line="68" w:lineRule="exact"/>
        <w:rPr>
          <w:rFonts w:ascii="Times New Roman" w:cs="Times New Roman" w:eastAsia="Times New Roman" w:hAnsi="Times New Roman"/>
          <w:sz w:val="18"/>
          <w:szCs w:val="18"/>
          <w:b w:val="1"/>
          <w:bCs w:val="1"/>
          <w:i w:val="1"/>
          <w:iCs w:val="1"/>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operating expenses to Adjusted Operating Expenses for the three months ended March 31, 2026 and 2025:</w:t>
      </w:r>
    </w:p>
    <w:p>
      <w:pPr>
        <w:spacing w:after="0" w:line="27" w:lineRule="exact"/>
        <w:rPr>
          <w:rFonts w:ascii="Times New Roman" w:cs="Times New Roman" w:eastAsia="Times New Roman" w:hAnsi="Times New Roman"/>
          <w:sz w:val="18"/>
          <w:szCs w:val="18"/>
          <w:b w:val="1"/>
          <w:bCs w:val="1"/>
          <w:i w:val="1"/>
          <w:iCs w:val="1"/>
          <w:color w:val="auto"/>
        </w:rPr>
      </w:pPr>
    </w:p>
    <w:tbl>
      <w:tblPr>
        <w:tblLayout w:type="fixed"/>
        <w:tblInd w:w="0" w:type="dxa"/>
        <w:tblCellMar>
          <w:top w:w="0" w:type="dxa"/>
          <w:left w:w="0" w:type="dxa"/>
          <w:bottom w:w="0" w:type="dxa"/>
          <w:right w:w="0" w:type="dxa"/>
        </w:tblCellMar>
      </w:tblPr>
      <w:tr>
        <w:trPr>
          <w:trHeight w:val="216"/>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80" w:type="dxa"/>
            <w:vAlign w:val="bottom"/>
            <w:vMerge w:val="restart"/>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auto"/>
            </w:tcBorders>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160,062</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195,691</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(18,512)</w:t>
            </w:r>
          </w:p>
        </w:tc>
        <w:tc>
          <w:tcPr>
            <w:tcW w:w="3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(18,512)</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(32,686)</w:t>
            </w: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(62,818)</w:t>
            </w:r>
          </w:p>
        </w:tc>
        <w:tc>
          <w:tcPr>
            <w:tcW w:w="0" w:type="dxa"/>
            <w:vAlign w:val="bottom"/>
          </w:tcPr>
          <w:p>
            <w:pPr>
              <w:spacing w:after="0"/>
              <w:rPr>
                <w:sz w:val="1"/>
                <w:szCs w:val="1"/>
                <w:color w:val="auto"/>
              </w:rPr>
            </w:pPr>
          </w:p>
        </w:tc>
      </w:tr>
      <w:tr>
        <w:trPr>
          <w:trHeight w:val="216"/>
        </w:trPr>
        <w:tc>
          <w:tcPr>
            <w:tcW w:w="7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2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(7,619)</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Litigation proceeds, net</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Debt refinancing costs</w:t>
            </w:r>
          </w:p>
        </w:tc>
        <w:tc>
          <w:tcPr>
            <w:tcW w:w="2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16"/>
        </w:trPr>
        <w:tc>
          <w:tcPr>
            <w:tcW w:w="77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2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108,864</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107,126</w:t>
            </w:r>
          </w:p>
        </w:tc>
        <w:tc>
          <w:tcPr>
            <w:tcW w:w="3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column">
              <wp:posOffset>5825490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rFonts w:ascii="Times New Roman" w:cs="Times New Roman" w:eastAsia="Times New Roman" w:hAnsi="Times New Roman"/>
          <w:sz w:val="18"/>
          <w:szCs w:val="18"/>
          <w:b w:val="1"/>
          <w:bCs w:val="1"/>
          <w:i w:val="1"/>
          <w:iCs w:val="1"/>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w:t>
      </w:r>
    </w:p>
    <w:p>
      <w:pPr>
        <w:spacing w:after="0" w:line="121" w:lineRule="exact"/>
        <w:rPr>
          <w:rFonts w:ascii="Times New Roman" w:cs="Times New Roman" w:eastAsia="Times New Roman" w:hAnsi="Times New Roman"/>
          <w:sz w:val="18"/>
          <w:szCs w:val="18"/>
          <w:b w:val="1"/>
          <w:bCs w:val="1"/>
          <w:i w:val="1"/>
          <w:iCs w:val="1"/>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that Adjusted Operating Income, as defined below, provides meaningful supplemental information regarding our performance by excluding certain items that may not be indicative of our recurring core business operating results. Adjusted Operating Income is defined as operating income (loss) adjusted for amortization of intangible assets and acquired technologies, stock-based compensation expense and related employer payroll tax, costs associated with the acquisition and integration of completed and potential M&amp;A, litigation proceeds, debt refinancing costs and costs related to equity transactions, including secondary offerings.</w:t>
      </w:r>
    </w:p>
    <w:p>
      <w:pPr>
        <w:spacing w:after="0" w:line="75" w:lineRule="exact"/>
        <w:rPr>
          <w:rFonts w:ascii="Times New Roman" w:cs="Times New Roman" w:eastAsia="Times New Roman" w:hAnsi="Times New Roman"/>
          <w:sz w:val="18"/>
          <w:szCs w:val="18"/>
          <w:b w:val="1"/>
          <w:bCs w:val="1"/>
          <w:i w:val="1"/>
          <w:iCs w:val="1"/>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operating income (loss) to Adjusted Operating Income for the three months ended March 31, 2026 and 2025:</w:t>
      </w:r>
    </w:p>
    <w:p>
      <w:pPr>
        <w:spacing w:after="0" w:line="27" w:lineRule="exact"/>
        <w:rPr>
          <w:rFonts w:ascii="Times New Roman" w:cs="Times New Roman" w:eastAsia="Times New Roman" w:hAnsi="Times New Roman"/>
          <w:sz w:val="18"/>
          <w:szCs w:val="18"/>
          <w:b w:val="1"/>
          <w:bCs w:val="1"/>
          <w:i w:val="1"/>
          <w:iCs w:val="1"/>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column">
              <wp:posOffset>5902960</wp:posOffset>
            </wp:positionH>
            <wp:positionV relativeFrom="paragraph">
              <wp:posOffset>1403350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1420495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1403350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1420495</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171" w:lineRule="exact"/>
        <w:rPr>
          <w:rFonts w:ascii="Times New Roman" w:cs="Times New Roman" w:eastAsia="Times New Roman" w:hAnsi="Times New Roman"/>
          <w:sz w:val="18"/>
          <w:szCs w:val="18"/>
          <w:b w:val="1"/>
          <w:bCs w:val="1"/>
          <w:i w:val="1"/>
          <w:iCs w:val="1"/>
          <w:color w:val="auto"/>
        </w:rPr>
      </w:pPr>
    </w:p>
    <w:p>
      <w:pPr>
        <w:spacing w:after="0" w:line="200" w:lineRule="exact"/>
        <w:rPr>
          <w:rFonts w:ascii="Times New Roman" w:cs="Times New Roman" w:eastAsia="Times New Roman" w:hAnsi="Times New Roman"/>
          <w:sz w:val="18"/>
          <w:szCs w:val="18"/>
          <w:b w:val="1"/>
          <w:bCs w:val="1"/>
          <w:i w:val="1"/>
          <w:iCs w:val="1"/>
          <w:color w:val="auto"/>
        </w:rPr>
      </w:pPr>
    </w:p>
    <w:p>
      <w:pPr>
        <w:spacing w:after="0" w:line="272" w:lineRule="exact"/>
        <w:rPr>
          <w:rFonts w:ascii="Times New Roman" w:cs="Times New Roman" w:eastAsia="Times New Roman" w:hAnsi="Times New Roman"/>
          <w:sz w:val="18"/>
          <w:szCs w:val="18"/>
          <w:b w:val="1"/>
          <w:bCs w:val="1"/>
          <w:i w:val="1"/>
          <w:iCs w:val="1"/>
          <w:color w:val="auto"/>
        </w:rPr>
      </w:pPr>
    </w:p>
    <w:tbl>
      <w:tblPr>
        <w:tblLayout w:type="fixed"/>
        <w:tblInd w:w="0" w:type="dxa"/>
        <w:tblCellMar>
          <w:top w:w="0" w:type="dxa"/>
          <w:left w:w="0" w:type="dxa"/>
          <w:bottom w:w="0" w:type="dxa"/>
          <w:right w:w="0" w:type="dxa"/>
        </w:tblCellMar>
      </w:tblPr>
      <w:tr>
        <w:trPr>
          <w:trHeight w:val="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line="20" w:lineRule="exact"/>
              <w:rPr>
                <w:sz w:val="1"/>
                <w:szCs w:val="1"/>
                <w:color w:val="auto"/>
              </w:rPr>
            </w:pPr>
          </w:p>
        </w:tc>
      </w:tr>
      <w:tr>
        <w:trPr>
          <w:trHeight w:val="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48,817</w:t>
            </w:r>
          </w:p>
        </w:tc>
        <w:tc>
          <w:tcPr>
            <w:tcW w:w="6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(10,699)</w:t>
            </w:r>
          </w:p>
        </w:tc>
      </w:tr>
      <w:tr>
        <w:trPr>
          <w:trHeight w:val="0"/>
        </w:trPr>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620" w:type="dxa"/>
            <w:vAlign w:val="bottom"/>
          </w:tcPr>
          <w:p>
            <w:pPr>
              <w:spacing w:after="0" w:line="20" w:lineRule="exact"/>
              <w:rPr>
                <w:sz w:val="1"/>
                <w:szCs w:val="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120" w:type="dxa"/>
            <w:vAlign w:val="bottom"/>
          </w:tcPr>
          <w:p>
            <w:pPr>
              <w:spacing w:after="0" w:line="20" w:lineRule="exact"/>
              <w:rPr>
                <w:sz w:val="1"/>
                <w:szCs w:val="1"/>
                <w:color w:val="auto"/>
              </w:rPr>
            </w:pPr>
          </w:p>
        </w:tc>
      </w:tr>
      <w:tr>
        <w:trPr>
          <w:trHeight w:val="0"/>
        </w:trPr>
        <w:tc>
          <w:tcPr>
            <w:tcW w:w="7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6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20" w:type="dxa"/>
            <w:vAlign w:val="bottom"/>
            <w:shd w:val="clear" w:color="auto" w:fill="CFF0FC"/>
          </w:tcPr>
          <w:p>
            <w:pPr>
              <w:spacing w:after="0" w:line="20" w:lineRule="exact"/>
              <w:rPr>
                <w:sz w:val="1"/>
                <w:szCs w:val="1"/>
                <w:color w:val="auto"/>
              </w:rPr>
            </w:pPr>
          </w:p>
        </w:tc>
      </w:tr>
      <w:tr>
        <w:trPr>
          <w:trHeight w:val="0"/>
        </w:trPr>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620" w:type="dxa"/>
            <w:vAlign w:val="bottom"/>
          </w:tcPr>
          <w:p>
            <w:pPr>
              <w:spacing w:after="0" w:line="20" w:lineRule="exact"/>
              <w:rPr>
                <w:sz w:val="1"/>
                <w:szCs w:val="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65,919</w:t>
            </w:r>
          </w:p>
        </w:tc>
        <w:tc>
          <w:tcPr>
            <w:tcW w:w="120" w:type="dxa"/>
            <w:vAlign w:val="bottom"/>
          </w:tcPr>
          <w:p>
            <w:pPr>
              <w:spacing w:after="0" w:line="20" w:lineRule="exact"/>
              <w:rPr>
                <w:sz w:val="1"/>
                <w:szCs w:val="1"/>
                <w:color w:val="auto"/>
              </w:rPr>
            </w:pPr>
          </w:p>
        </w:tc>
      </w:tr>
      <w:tr>
        <w:trPr>
          <w:trHeight w:val="0"/>
        </w:trPr>
        <w:tc>
          <w:tcPr>
            <w:tcW w:w="7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20" w:type="dxa"/>
            <w:vAlign w:val="bottom"/>
            <w:shd w:val="clear" w:color="auto" w:fill="CFF0FC"/>
          </w:tcPr>
          <w:p>
            <w:pPr>
              <w:spacing w:after="0" w:line="20" w:lineRule="exact"/>
              <w:rPr>
                <w:sz w:val="1"/>
                <w:szCs w:val="1"/>
                <w:color w:val="auto"/>
              </w:rPr>
            </w:pPr>
          </w:p>
        </w:tc>
      </w:tr>
      <w:tr>
        <w:trPr>
          <w:trHeight w:val="0"/>
        </w:trPr>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 proceeds, net</w:t>
            </w: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line="20" w:lineRule="exact"/>
              <w:rPr>
                <w:sz w:val="1"/>
                <w:szCs w:val="1"/>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(3,790)</w:t>
            </w:r>
          </w:p>
        </w:tc>
      </w:tr>
      <w:tr>
        <w:trPr>
          <w:trHeight w:val="0"/>
        </w:trPr>
        <w:tc>
          <w:tcPr>
            <w:tcW w:w="7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Debt refinancing costs</w:t>
            </w: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shd w:val="clear" w:color="auto" w:fill="CFF0FC"/>
          </w:tcPr>
          <w:p>
            <w:pPr>
              <w:spacing w:after="0" w:line="20" w:lineRule="exact"/>
              <w:rPr>
                <w:sz w:val="1"/>
                <w:szCs w:val="1"/>
                <w:color w:val="auto"/>
              </w:rPr>
            </w:pPr>
          </w:p>
        </w:tc>
      </w:tr>
      <w:tr>
        <w:trPr>
          <w:trHeight w:val="0"/>
        </w:trPr>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line="20" w:lineRule="exact"/>
              <w:rPr>
                <w:sz w:val="1"/>
                <w:szCs w:val="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line="20" w:lineRule="exact"/>
              <w:rPr>
                <w:sz w:val="1"/>
                <w:szCs w:val="1"/>
                <w:color w:val="auto"/>
              </w:rPr>
            </w:pPr>
          </w:p>
        </w:tc>
      </w:tr>
      <w:tr>
        <w:trPr>
          <w:trHeight w:val="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520" w:type="dxa"/>
            <w:vAlign w:val="bottom"/>
            <w:gridSpan w:val="2"/>
            <w:shd w:val="clear" w:color="auto" w:fill="000000"/>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106,765</w:t>
            </w:r>
          </w:p>
        </w:tc>
        <w:tc>
          <w:tcPr>
            <w:tcW w:w="620" w:type="dxa"/>
            <w:vAlign w:val="bottom"/>
            <w:shd w:val="clear" w:color="auto" w:fill="000000"/>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000000"/>
          </w:tcPr>
          <w:p>
            <w:pPr>
              <w:jc w:val="right"/>
              <w:spacing w:after="0"/>
              <w:rPr>
                <w:sz w:val="20"/>
                <w:szCs w:val="20"/>
                <w:color w:val="auto"/>
              </w:rPr>
            </w:pPr>
            <w:r>
              <w:rPr>
                <w:rFonts w:ascii="Times New Roman" w:cs="Times New Roman" w:eastAsia="Times New Roman" w:hAnsi="Times New Roman"/>
                <w:sz w:val="18"/>
                <w:szCs w:val="18"/>
                <w:color w:val="auto"/>
              </w:rPr>
              <w:t>85,335</w:t>
            </w:r>
          </w:p>
        </w:tc>
        <w:tc>
          <w:tcPr>
            <w:tcW w:w="120" w:type="dxa"/>
            <w:vAlign w:val="bottom"/>
            <w:shd w:val="clear" w:color="auto" w:fill="CFF0FC"/>
          </w:tcPr>
          <w:p>
            <w:pPr>
              <w:spacing w:after="0" w:line="20" w:lineRule="exact"/>
              <w:rPr>
                <w:sz w:val="1"/>
                <w:szCs w:val="1"/>
                <w:color w:val="auto"/>
              </w:rPr>
            </w:pPr>
          </w:p>
        </w:tc>
      </w:tr>
      <w:tr>
        <w:trPr>
          <w:trHeight w:val="777"/>
        </w:trPr>
        <w:tc>
          <w:tcPr>
            <w:tcW w:w="7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spacing w:after="0" w:line="185" w:lineRule="auto"/>
        <w:framePr w:w="4200" w:h="160" w:wrap="auto" w:vAnchor="page" w:hAnchor="page" w:x="280" w:y="5731"/>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ind w:firstLine="509"/>
        <w:spacing w:after="0" w:line="239" w:lineRule="auto"/>
        <w:framePr w:w="11260" w:h="1240" w:wrap="auto" w:vAnchor="page" w:hAnchor="page" w:x="280" w:y="6055"/>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believe that Adjusted Net Income, as defined below, and Adjusted Earnings Per Share are useful in evaluating our operational performance distinct and apart from financing costs, certain expenses and non-operational expenses. Adjusted Net Income is defined as net income (loss) adjusted for the after-tax effects of amortization of intangible assets and acquired technologies, stock-based compensation expense and related employer payroll tax, costs associated with the acquisition and integration of completed and potential M&amp;A, litigation proceeds for matters in which we are the plaintiff and related antitrust matters, debt refinancing costs, costs related to equity transactions, including secondary offerings and the change in fair value of derivative instruments.</w:t>
      </w:r>
    </w:p>
    <w:p>
      <w:pPr>
        <w:ind w:firstLine="509"/>
        <w:spacing w:after="0" w:line="196" w:lineRule="auto"/>
        <w:framePr w:w="10500" w:h="160" w:wrap="auto" w:vAnchor="page" w:hAnchor="page" w:x="800" w:y="7459"/>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The following table reconciles net income (loss) to Adjusted Net Income and Adjusted Earnings per Share for the three months ended March 31,</w:t>
      </w:r>
    </w:p>
    <w:p>
      <w:pPr>
        <w:ind w:firstLine="509"/>
        <w:spacing w:after="0" w:line="196" w:lineRule="auto"/>
        <w:framePr w:w="1200" w:h="160" w:wrap="auto" w:vAnchor="page" w:hAnchor="page" w:x="280" w:y="7675"/>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2026 and 2025:</w:t>
      </w: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net income (loss) to Adjusted EBITDA for the three months ended March 31, 2026 and 2025:</w:t>
      </w:r>
    </w:p>
    <w:p>
      <w:pPr>
        <w:spacing w:after="0" w:line="27" w:lineRule="exact"/>
        <w:rPr>
          <w:rFonts w:ascii="Times New Roman" w:cs="Times New Roman" w:eastAsia="Times New Roman" w:hAnsi="Times New Roman"/>
          <w:sz w:val="17"/>
          <w:szCs w:val="17"/>
          <w:b w:val="1"/>
          <w:bCs w:val="1"/>
          <w:i w:val="1"/>
          <w:iCs w:val="1"/>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9" w:lineRule="exact"/>
        <w:rPr>
          <w:rFonts w:ascii="Times New Roman" w:cs="Times New Roman" w:eastAsia="Times New Roman" w:hAnsi="Times New Roman"/>
          <w:sz w:val="17"/>
          <w:szCs w:val="17"/>
          <w:b w:val="1"/>
          <w:bCs w:val="1"/>
          <w:i w:val="1"/>
          <w:iCs w:val="1"/>
          <w:color w:val="auto"/>
        </w:rPr>
      </w:pPr>
    </w:p>
    <w:tbl>
      <w:tblPr>
        <w:tblLayout w:type="fixed"/>
        <w:tblInd w:w="0" w:type="dxa"/>
        <w:tblCellMar>
          <w:top w:w="0" w:type="dxa"/>
          <w:left w:w="0" w:type="dxa"/>
          <w:bottom w:w="0" w:type="dxa"/>
          <w:right w:w="0" w:type="dxa"/>
        </w:tblCellMar>
      </w:tblPr>
      <w:tr>
        <w:trPr>
          <w:trHeight w:val="209"/>
        </w:trPr>
        <w:tc>
          <w:tcPr>
            <w:tcW w:w="7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8"/>
                <w:szCs w:val="18"/>
                <w:color w:val="auto"/>
              </w:rPr>
            </w:pPr>
          </w:p>
        </w:tc>
      </w:tr>
      <w:tr>
        <w:trPr>
          <w:trHeight w:val="210"/>
        </w:trPr>
        <w:tc>
          <w:tcPr>
            <w:tcW w:w="7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(17,421)</w:t>
            </w:r>
          </w:p>
        </w:tc>
      </w:tr>
      <w:tr>
        <w:trPr>
          <w:trHeight w:val="216"/>
        </w:trPr>
        <w:tc>
          <w:tcPr>
            <w:tcW w:w="7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16,926</w:t>
            </w:r>
          </w:p>
        </w:tc>
        <w:tc>
          <w:tcPr>
            <w:tcW w:w="280" w:type="dxa"/>
            <w:vAlign w:val="bottom"/>
          </w:tcPr>
          <w:p>
            <w:pPr>
              <w:spacing w:after="0"/>
              <w:rPr>
                <w:sz w:val="18"/>
                <w:szCs w:val="18"/>
                <w:color w:val="auto"/>
              </w:rPr>
            </w:pPr>
          </w:p>
        </w:tc>
      </w:tr>
      <w:tr>
        <w:trPr>
          <w:trHeight w:val="216"/>
        </w:trPr>
        <w:tc>
          <w:tcPr>
            <w:tcW w:w="7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(942)</w:t>
            </w: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(1,948)</w:t>
            </w:r>
          </w:p>
        </w:tc>
      </w:tr>
      <w:tr>
        <w:trPr>
          <w:trHeight w:val="216"/>
        </w:trPr>
        <w:tc>
          <w:tcPr>
            <w:tcW w:w="7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(13,353)</w:t>
            </w:r>
          </w:p>
        </w:tc>
      </w:tr>
      <w:tr>
        <w:trPr>
          <w:trHeight w:val="216"/>
        </w:trPr>
        <w:tc>
          <w:tcPr>
            <w:tcW w:w="7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280" w:type="dxa"/>
            <w:vAlign w:val="bottom"/>
            <w:shd w:val="clear" w:color="auto" w:fill="CFF0FC"/>
          </w:tcPr>
          <w:p>
            <w:pPr>
              <w:spacing w:after="0"/>
              <w:rPr>
                <w:sz w:val="18"/>
                <w:szCs w:val="18"/>
                <w:color w:val="auto"/>
              </w:rPr>
            </w:pPr>
          </w:p>
        </w:tc>
      </w:tr>
      <w:tr>
        <w:trPr>
          <w:trHeight w:val="216"/>
        </w:trPr>
        <w:tc>
          <w:tcPr>
            <w:tcW w:w="7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280" w:type="dxa"/>
            <w:vAlign w:val="bottom"/>
          </w:tcPr>
          <w:p>
            <w:pPr>
              <w:spacing w:after="0"/>
              <w:rPr>
                <w:sz w:val="18"/>
                <w:szCs w:val="18"/>
                <w:color w:val="auto"/>
              </w:rPr>
            </w:pPr>
          </w:p>
        </w:tc>
      </w:tr>
      <w:tr>
        <w:trPr>
          <w:trHeight w:val="216"/>
        </w:trPr>
        <w:tc>
          <w:tcPr>
            <w:tcW w:w="7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of software, equipment and property</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280" w:type="dxa"/>
            <w:vAlign w:val="bottom"/>
            <w:shd w:val="clear" w:color="auto" w:fill="CFF0FC"/>
          </w:tcPr>
          <w:p>
            <w:pPr>
              <w:spacing w:after="0"/>
              <w:rPr>
                <w:sz w:val="18"/>
                <w:szCs w:val="18"/>
                <w:color w:val="auto"/>
              </w:rPr>
            </w:pPr>
          </w:p>
        </w:tc>
      </w:tr>
      <w:tr>
        <w:trPr>
          <w:trHeight w:val="216"/>
        </w:trPr>
        <w:tc>
          <w:tcPr>
            <w:tcW w:w="7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of software, equipment and property—Cost of revenue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280" w:type="dxa"/>
            <w:vAlign w:val="bottom"/>
          </w:tcPr>
          <w:p>
            <w:pPr>
              <w:spacing w:after="0"/>
              <w:rPr>
                <w:sz w:val="18"/>
                <w:szCs w:val="18"/>
                <w:color w:val="auto"/>
              </w:rPr>
            </w:pPr>
          </w:p>
        </w:tc>
      </w:tr>
      <w:tr>
        <w:trPr>
          <w:trHeight w:val="216"/>
        </w:trPr>
        <w:tc>
          <w:tcPr>
            <w:tcW w:w="7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65,919</w:t>
            </w:r>
          </w:p>
        </w:tc>
        <w:tc>
          <w:tcPr>
            <w:tcW w:w="280" w:type="dxa"/>
            <w:vAlign w:val="bottom"/>
            <w:shd w:val="clear" w:color="auto" w:fill="CFF0FC"/>
          </w:tcPr>
          <w:p>
            <w:pPr>
              <w:spacing w:after="0"/>
              <w:rPr>
                <w:sz w:val="18"/>
                <w:szCs w:val="18"/>
                <w:color w:val="auto"/>
              </w:rPr>
            </w:pPr>
          </w:p>
        </w:tc>
      </w:tr>
      <w:tr>
        <w:trPr>
          <w:trHeight w:val="216"/>
        </w:trPr>
        <w:tc>
          <w:tcPr>
            <w:tcW w:w="7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32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280" w:type="dxa"/>
            <w:vAlign w:val="bottom"/>
          </w:tcPr>
          <w:p>
            <w:pPr>
              <w:spacing w:after="0"/>
              <w:rPr>
                <w:sz w:val="18"/>
                <w:szCs w:val="18"/>
                <w:color w:val="auto"/>
              </w:rPr>
            </w:pPr>
          </w:p>
        </w:tc>
      </w:tr>
      <w:tr>
        <w:trPr>
          <w:trHeight w:val="216"/>
        </w:trPr>
        <w:tc>
          <w:tcPr>
            <w:tcW w:w="7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Litigation proceeds, net</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(3,790)</w:t>
            </w:r>
          </w:p>
        </w:tc>
      </w:tr>
      <w:tr>
        <w:trPr>
          <w:trHeight w:val="216"/>
        </w:trPr>
        <w:tc>
          <w:tcPr>
            <w:tcW w:w="7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Debt refinancing costs</w:t>
            </w:r>
          </w:p>
        </w:tc>
        <w:tc>
          <w:tcPr>
            <w:tcW w:w="320" w:type="dxa"/>
            <w:vAlign w:val="bottom"/>
          </w:tcPr>
          <w:p>
            <w:pPr>
              <w:spacing w:after="0"/>
              <w:rPr>
                <w:sz w:val="18"/>
                <w:szCs w:val="18"/>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80" w:type="dxa"/>
            <w:vAlign w:val="bottom"/>
          </w:tcPr>
          <w:p>
            <w:pPr>
              <w:spacing w:after="0"/>
              <w:rPr>
                <w:sz w:val="18"/>
                <w:szCs w:val="18"/>
                <w:color w:val="auto"/>
              </w:rPr>
            </w:pPr>
          </w:p>
        </w:tc>
      </w:tr>
      <w:tr>
        <w:trPr>
          <w:trHeight w:val="216"/>
        </w:trPr>
        <w:tc>
          <w:tcPr>
            <w:tcW w:w="7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80" w:type="dxa"/>
            <w:vAlign w:val="bottom"/>
            <w:shd w:val="clear" w:color="auto" w:fill="CFF0FC"/>
          </w:tcPr>
          <w:p>
            <w:pPr>
              <w:spacing w:after="0"/>
              <w:rPr>
                <w:sz w:val="18"/>
                <w:szCs w:val="18"/>
                <w:color w:val="auto"/>
              </w:rPr>
            </w:pPr>
          </w:p>
        </w:tc>
      </w:tr>
      <w:tr>
        <w:trPr>
          <w:trHeight w:val="216"/>
        </w:trPr>
        <w:tc>
          <w:tcPr>
            <w:tcW w:w="7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3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(4,395)</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280" w:type="dxa"/>
            <w:vAlign w:val="bottom"/>
          </w:tcPr>
          <w:p>
            <w:pPr>
              <w:spacing w:after="0"/>
              <w:rPr>
                <w:sz w:val="18"/>
                <w:szCs w:val="18"/>
                <w:color w:val="auto"/>
              </w:rPr>
            </w:pPr>
          </w:p>
        </w:tc>
      </w:tr>
      <w:tr>
        <w:trPr>
          <w:trHeight w:val="216"/>
        </w:trPr>
        <w:tc>
          <w:tcPr>
            <w:tcW w:w="76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Expense (Income) from derivative instruments</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(497)</w:t>
            </w:r>
          </w:p>
        </w:tc>
      </w:tr>
      <w:tr>
        <w:trPr>
          <w:trHeight w:val="210"/>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120,198</w:t>
            </w:r>
          </w:p>
        </w:tc>
        <w:tc>
          <w:tcPr>
            <w:tcW w:w="3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99,077</w:t>
            </w:r>
          </w:p>
        </w:tc>
        <w:tc>
          <w:tcPr>
            <w:tcW w:w="280" w:type="dxa"/>
            <w:vAlign w:val="bottom"/>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60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Adjusted EBITDA Margin</w:t>
            </w:r>
          </w:p>
        </w:tc>
        <w:tc>
          <w:tcPr>
            <w:tcW w:w="32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3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39%</w:t>
            </w:r>
          </w:p>
        </w:tc>
      </w:tr>
    </w:tbl>
    <w:p>
      <w:pPr>
        <w:spacing w:after="0" w:line="200" w:lineRule="exact"/>
        <w:rPr>
          <w:rFonts w:ascii="Times New Roman" w:cs="Times New Roman" w:eastAsia="Times New Roman" w:hAnsi="Times New Roman"/>
          <w:sz w:val="17"/>
          <w:szCs w:val="17"/>
          <w:b w:val="1"/>
          <w:bCs w:val="1"/>
          <w:i w:val="1"/>
          <w:iCs w:val="1"/>
          <w:color w:val="auto"/>
        </w:rPr>
      </w:pPr>
    </w:p>
    <w:p>
      <w:pPr>
        <w:spacing w:after="0" w:line="200" w:lineRule="exact"/>
        <w:rPr>
          <w:rFonts w:ascii="Times New Roman" w:cs="Times New Roman" w:eastAsia="Times New Roman" w:hAnsi="Times New Roman"/>
          <w:sz w:val="17"/>
          <w:szCs w:val="17"/>
          <w:b w:val="1"/>
          <w:bCs w:val="1"/>
          <w:i w:val="1"/>
          <w:iCs w:val="1"/>
          <w:color w:val="auto"/>
        </w:rPr>
      </w:pPr>
    </w:p>
    <w:p>
      <w:pPr>
        <w:spacing w:after="0" w:line="141" w:lineRule="exact"/>
        <w:rPr>
          <w:rFonts w:ascii="Times New Roman" w:cs="Times New Roman" w:eastAsia="Times New Roman" w:hAnsi="Times New Roman"/>
          <w:sz w:val="17"/>
          <w:szCs w:val="17"/>
          <w:b w:val="1"/>
          <w:bCs w:val="1"/>
          <w:i w:val="1"/>
          <w:iCs w:val="1"/>
          <w:color w:val="auto"/>
        </w:rPr>
      </w:pPr>
    </w:p>
    <w:p>
      <w:pPr>
        <w:spacing w:after="0" w:line="163" w:lineRule="exact"/>
        <w:rPr>
          <w:rFonts w:ascii="Times New Roman" w:cs="Times New Roman" w:eastAsia="Times New Roman" w:hAnsi="Times New Roman"/>
          <w:sz w:val="17"/>
          <w:szCs w:val="17"/>
          <w:b w:val="1"/>
          <w:bCs w:val="1"/>
          <w:i w:val="1"/>
          <w:iCs w:val="1"/>
          <w:color w:val="auto"/>
        </w:rPr>
      </w:pPr>
    </w:p>
    <w:p>
      <w:pPr>
        <w:spacing w:after="0" w:line="248" w:lineRule="exact"/>
        <w:rPr>
          <w:rFonts w:ascii="Times New Roman" w:cs="Times New Roman" w:eastAsia="Times New Roman" w:hAnsi="Times New Roman"/>
          <w:sz w:val="17"/>
          <w:szCs w:val="17"/>
          <w:b w:val="1"/>
          <w:bCs w:val="1"/>
          <w:i w:val="1"/>
          <w:iCs w:val="1"/>
          <w:color w:val="auto"/>
        </w:rPr>
      </w:pPr>
    </w:p>
    <w:tbl>
      <w:tblPr>
        <w:tblLayout w:type="fixed"/>
        <w:tblInd w:w="0" w:type="dxa"/>
        <w:tblCellMar>
          <w:top w:w="0" w:type="dxa"/>
          <w:left w:w="0" w:type="dxa"/>
          <w:bottom w:w="0" w:type="dxa"/>
          <w:right w:w="0" w:type="dxa"/>
        </w:tblCellMar>
      </w:tblPr>
      <w:tr>
        <w:trPr>
          <w:trHeight w:val="238"/>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5380" w:type="dxa"/>
            <w:vAlign w:val="bottom"/>
            <w:tcBorders>
              <w:bottom w:val="single" w:sz="8" w:color="auto"/>
            </w:tcBorders>
            <w:vMerge w:val="continue"/>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(17,421)</w:t>
            </w:r>
          </w:p>
        </w:tc>
        <w:tc>
          <w:tcPr>
            <w:tcW w:w="0" w:type="dxa"/>
            <w:vAlign w:val="bottom"/>
          </w:tcPr>
          <w:p>
            <w:pPr>
              <w:spacing w:after="0"/>
              <w:rPr>
                <w:sz w:val="1"/>
                <w:szCs w:val="1"/>
                <w:color w:val="auto"/>
              </w:rPr>
            </w:pPr>
          </w:p>
        </w:tc>
      </w:tr>
      <w:tr>
        <w:trPr>
          <w:trHeight w:val="216"/>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acquired technologies—Cost of revenue</w:t>
            </w:r>
          </w:p>
        </w:tc>
        <w:tc>
          <w:tcPr>
            <w:tcW w:w="2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 and related employer payroll tax</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M&amp;A and integration costs</w:t>
            </w:r>
          </w:p>
        </w:tc>
        <w:tc>
          <w:tcPr>
            <w:tcW w:w="2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Litigation proceeds, net</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(3,790)</w:t>
            </w: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Debt refinancing costs</w:t>
            </w:r>
          </w:p>
        </w:tc>
        <w:tc>
          <w:tcPr>
            <w:tcW w:w="2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transaction costs, including secondary offerings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 in fair value of derivative instruments</w:t>
            </w:r>
          </w:p>
        </w:tc>
        <w:tc>
          <w:tcPr>
            <w:tcW w:w="2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(4,395)</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effect of adjustments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(2,162)</w:t>
            </w:r>
          </w:p>
        </w:tc>
        <w:tc>
          <w:tcPr>
            <w:tcW w:w="3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(29,873)</w:t>
            </w:r>
          </w:p>
        </w:tc>
        <w:tc>
          <w:tcPr>
            <w:tcW w:w="0" w:type="dxa"/>
            <w:vAlign w:val="bottom"/>
          </w:tcPr>
          <w:p>
            <w:pPr>
              <w:spacing w:after="0"/>
              <w:rPr>
                <w:sz w:val="1"/>
                <w:szCs w:val="1"/>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340" w:type="dxa"/>
            <w:vAlign w:val="bottom"/>
            <w:gridSpan w:val="2"/>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66,808</w:t>
            </w:r>
          </w:p>
        </w:tc>
        <w:tc>
          <w:tcPr>
            <w:tcW w:w="3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Per Share attributable to common stockholders:</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587,380,660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636,832,216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607,022,694</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669,658,149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5380" w:type="dxa"/>
            <w:vAlign w:val="bottom"/>
          </w:tcPr>
          <w:p>
            <w:pPr>
              <w:spacing w:after="0"/>
              <w:rPr>
                <w:sz w:val="24"/>
                <w:szCs w:val="24"/>
                <w:color w:val="auto"/>
              </w:rPr>
            </w:pPr>
          </w:p>
        </w:tc>
        <w:tc>
          <w:tcPr>
            <w:tcW w:w="214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believe that Free Cash Flow, as defined below, provides meaningful supplemental information regarding our ability to generate cash and fund our operations and capital expenditures. Free Cash Flow is defined as net cash provided by operating activities less cash used for the purchases of software, equipment, and property.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net cash provided by operating activities to Free Cash Flow for the three months ended March 31, 2026 and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50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71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57,461</w:t>
            </w:r>
          </w:p>
        </w:tc>
        <w:tc>
          <w:tcPr>
            <w:tcW w:w="2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software, equipment, and property</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(14,846)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41,585</w:t>
            </w:r>
          </w:p>
        </w:tc>
        <w:tc>
          <w:tcPr>
            <w:tcW w:w="2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have financed our operations with cash flows from operations. The Company generated $57.5 million of cash flows from operating activities during the three months ended March 31, 2026. As of March 31, 2026, the Company had cash and cash equivalents of $36.9 million, a working capital surplus of $50.6 million and an accumulated deficit totaling $1,780.3 million. As of March 31, 2026, the Company had $1,287.7 million aggregate principal outstanding on its term loan.</w:t>
      </w:r>
    </w:p>
    <w:p>
      <w:pPr>
        <w:spacing w:after="0" w:line="72" w:lineRule="exact"/>
        <w:rPr>
          <w:sz w:val="20"/>
          <w:szCs w:val="20"/>
          <w:color w:val="auto"/>
        </w:rPr>
      </w:pPr>
    </w:p>
    <w:p>
      <w:pPr>
        <w:jc w:val="both"/>
        <w:ind w:right="66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our cash flows from operating activities and our borrowing capacity under our 2021 Revolving Credit Facility will be sufficient to fund our operations, fund required long-term debt repayments and meet our commitments for capital expenditures for at least the next twelve months.</w:t>
      </w:r>
    </w:p>
    <w:p>
      <w:pPr>
        <w:spacing w:after="0" w:line="6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Although we are not currently a party to any material definitive agreement regarding potential investments in, or acquisitions of, complementary businesses, applications or technologies, we may enter into these types of arrangements, which could reduce our cash and cash equivalents or require us to seek additional equity or debt financing. Additional funds from financing arrangements may not be available on terms favorable to us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On September 21, 2021, CCC Intelligent Solutions Inc., an indirect wholly owned subsidiary of the Company, together with certain of the Company’s subsidiaries acting as guarantors entered into a credit agreement (as amended, the “2021 Credit Agreement”).</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2021 Credit Agreement — The 2021 Credit Agreement originally consisted of an $800.0 million term loan, the proceeds of which, with cash on hand were used to repay all outstanding borrowings under the Company’s previous credit agreement. The 2021 Credit Agreement also includes a revolving credit facility (“2021 Revolving Credit Facility”) for an aggregate principal amount of $250.0 million. The 2021 Revolving Credit Facility has a sublimit of $75.0 million for letters of credit.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2024 Refinancing — In September 2024, the Company entered into Amendment No. 2 to the 2021 Credit Agreement (the “Second Amendment”) to</w:t>
      </w:r>
    </w:p>
    <w:p>
      <w:pPr>
        <w:spacing w:after="0" w:line="27" w:lineRule="exact"/>
        <w:rPr>
          <w:sz w:val="20"/>
          <w:szCs w:val="20"/>
          <w:color w:val="auto"/>
        </w:rPr>
      </w:pPr>
    </w:p>
    <w:p>
      <w:pPr>
        <w:ind w:right="120" w:firstLine="8"/>
        <w:spacing w:after="0" w:line="253" w:lineRule="auto"/>
        <w:tabs>
          <w:tab w:leader="none" w:pos="2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the secured overnight financing rate (“SOFR”) credit adjustment applicable to the 2021 Revolving Credit Facility and (ii) reduce the applicable interest rate for the 2021 Revolving Credit Facility by 0.25%. Additionally, the maturity date for the 2021 Revolving Credit Facility was extended to September 23, 2029, subject to a springing maturity date of June 22, 2028 if greater than $234.0 million of the initial Term B Loan remains outstanding as of such date.</w:t>
      </w:r>
    </w:p>
    <w:p>
      <w:pPr>
        <w:spacing w:after="0" w:line="8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At the time of entering into the 2021 Credit Agreement, the Company incurred $3.1 million in financing costs related to the 2021 Revolving Credit Facility. The Company incurred $0.7 million in financing costs related to the Second Amendment. These costs were recorded to a deferred financing fees asset account and are being amortized to interest expense over the term of the 2021 Revolving Credit Facility.</w:t>
      </w:r>
    </w:p>
    <w:p>
      <w:pPr>
        <w:spacing w:after="0" w:line="6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2025 Additional Borrowing and Refinancing — On January 6, 2025, in conjunction with the acquisition of EvolutionIQ (Note 3), the Company entered into Amendment No.3 to the 2021 Credit Agreement (the “Third Amendment”) that provided the Company with incremental term loans in an aggregate principal amount of $225.0 million (the “Incremental Term Loans”). Immediately after the Third Amendment, the Incremental Term Loans were repayable in quarterly installments in an amount equal to 0.25% of the original principal amount, with the balance payable at maturity, September 21, 2028.</w:t>
      </w:r>
    </w:p>
    <w:p>
      <w:pPr>
        <w:spacing w:after="0" w:line="72"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Immediately after the Third Amendment, the interest rate per annum applicable to the Incremental Term Loans were based on a fluctuating rate of interest, determined by the Company’s leverage ratio, as defined in the 2021 Credit Agreement. In connection with the Fourth Amendment (as defined below), the Incremental Term Loans were refinanced together with other term loans outlined in the following paragraphs.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23, 2025, the Company entered into Amendment No.4 (the “Fourth Amendment”) to the 2021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Pursuant to the terms of the Fourth Amendment, (i) the Company incurred incremental term loans in an aggregate principal amount of $225.0 million, which were used to refinance certain outstanding incremental term loans (including the Incremental Term Loans), (ii) the maturity of all term loans under the 2021 Credit Agreement was extended to January 23, 2032, (iii) the credit spread adjustment applicable to SOFR loans under the 2021 Credit Agreement was removed, and (iv) the interest rate margin applicable to all term loans under the 2021 Credit Agreement was removed.</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12, 2025, the Company entered into Amendment No.5 to the 2021 Credit Agreement (the “Fifth Amendment”).</w:t>
      </w:r>
    </w:p>
    <w:p>
      <w:pPr>
        <w:spacing w:after="0" w:line="11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terms of the Fifth Amendment, the Company incurred incremental term loans in an aggregate principal amount of $300.0 million, which were used to fund the ASR program.</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other terms and conditions within the Company’s 2021 Credit Agreement were unchanged as part of the Amendments.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Upon execution of the Fifth Amendment, the Company had outstanding borrowings under all term loans under the 2021 Credit Agreement of $1,291 million (the “Term Loan”) and a revolving credit facility for an aggregate principal amount of $250.0 million (the “2021 Revolving Credit Facility” and together with the Term Loan, the “2021 Credit Facilities”).</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incurred $6.5 million in costs related to the Third Amendment and Fourth Amendment, recorded as contra debt. The Company incurred $1.2 million in costs related to the Fifth Amendment, recorded as contra debt. These costs are being amortized to interest expense over the term of the Term Loan using the effective interest method.</w:t>
      </w:r>
    </w:p>
    <w:p>
      <w:pPr>
        <w:spacing w:after="0" w:line="6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Term Loan requires quarterly principal payments of $3.3 million until December 31, 2031, with the remaining outstanding principal amount required to be paid on the maturity date, January 23, 2032. If the Company’s leverage ratio, as defined in the 2021 Credit Agreement is greater than 3.5, the Term Loan requires a prepayment of principal, subject to certain exceptions, in connection with the receipt of proceeds from certain asset sales, casualty events, and debt issuances by the Company, and up to 50% of annual excess cash flow, as defined in and as further set forth in the 2021 Credit Agreement. When a principal prepayment is required, the prepayment offsets the future quarterly principal payments of the same amount. As of March 31, 2026 and 2025, the Company’s leverage ratio did not exceed the 3.5 threshold and the Company was not subject to the annual excess cash flow calculation, and as such, was not required to make a prepayment of principal.</w:t>
      </w:r>
    </w:p>
    <w:p>
      <w:pPr>
        <w:spacing w:after="0" w:line="8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amount outstanding on the Term Loan is $1,287.7 million and $1,291.0 million, respectively, of which $13.0 million, respectively, is classified as current in the accompanying consolidated balance sheets.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Borrowings under the 2021 Credit Facilities bear interest at rates based on the ratio of CCC Intelligent Solutions Inc. and certain of its subsidiaries’ consolidated first lien net indebtedness to consolidated EBITDA for applicable periods specified in the 2021 Credit Agreement.</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From and after the Fourth Amendment, the interest rate per annum applicable to the Term Loan is based on a fluctuating rate of interest equal to the sum of an applicable rate and, at the Company’s election from time to time, either:</w:t>
      </w:r>
    </w:p>
    <w:p>
      <w:pPr>
        <w:spacing w:after="0" w:line="54" w:lineRule="exact"/>
        <w:rPr>
          <w:sz w:val="20"/>
          <w:szCs w:val="20"/>
          <w:color w:val="auto"/>
        </w:rPr>
      </w:pPr>
    </w:p>
    <w:p>
      <w:pPr>
        <w:ind w:right="80" w:firstLine="517"/>
        <w:spacing w:after="0" w:line="261" w:lineRule="auto"/>
        <w:tabs>
          <w:tab w:leader="none" w:pos="7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 the case of base rate loans, and 2.00%, in the case of SOFR (or the Euro Interbank Offer Rate (“EURIBOR”) or the Sterling Overnight Indexed Average (“SONIA”)) loans, if S&amp;P and Moody’s Debt First Lien Leverage Ratio Ratings (as defined in the Credit Agreement) are below BB-(with a stable outlook) or below Ba3 (with a stable outlook) (or if for any reason this category does not apply, including if the Borrower has only one Debt Rating or the Borrower does not have any Debt Rating); or</w:t>
      </w:r>
    </w:p>
    <w:p>
      <w:pPr>
        <w:spacing w:after="0" w:line="71" w:lineRule="exact"/>
        <w:rPr>
          <w:rFonts w:ascii="Times New Roman" w:cs="Times New Roman" w:eastAsia="Times New Roman" w:hAnsi="Times New Roman"/>
          <w:sz w:val="18"/>
          <w:szCs w:val="18"/>
          <w:color w:val="auto"/>
        </w:rPr>
      </w:pPr>
    </w:p>
    <w:p>
      <w:pPr>
        <w:ind w:right="360" w:firstLine="517"/>
        <w:spacing w:after="0" w:line="282" w:lineRule="auto"/>
        <w:tabs>
          <w:tab w:leader="none" w:pos="7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0.75%, in the case of base rate loans, and 1.75%, in the case of SOFR (or EURIBOR or SONIA) loans, if S&amp;P and Moody’s Debt First Lien Leverage Ratio Ratings are both BB- (with a stable outlook) or better and Ba3 (with a stable outlook) or better.</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Prior to the Fourth Amendment, the interest rate per annum applicable to the loans was based on a fluctuating rate of interest equal to the sum of an applicable rate and term SOFR (or EURIBOR or SONIA) with a term, as selected by the Company, of one, three or six months (subject to (x) in the case of term loans, a 0.50% per annum floor and (y) in the case of revolving loans, a 0.00% per annum floor).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quarterly commitment fee of up to 0.50% is payable on the unused portion of the 2021 Revolving Credit Facility.</w:t>
      </w:r>
    </w:p>
    <w:p>
      <w:pPr>
        <w:spacing w:after="0" w:line="11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weighted-average interest rate on the outstanding borrowings under the Term B Loan was 5.8% and 6.1%, respectively.</w:t>
      </w:r>
    </w:p>
    <w:p>
      <w:pPr>
        <w:spacing w:after="0" w:line="5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has an outstanding standby letter of credit for $1.0 million and $1.1 million, respectively, which reduces the amount available to be borrowed under the 2021 Revolving Credit Facility. As of March 31, 2026 and December 31, 2025, $249.0 million and $248.9 million, respectively, was available to be borrowed.</w:t>
      </w:r>
    </w:p>
    <w:p>
      <w:pPr>
        <w:spacing w:after="0" w:line="6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Borrowings under the 2021 Credit Agreement are guaranteed by Cypress Holdings Intermediate Holdings II, LLC., and certain of its U.S. subsidiaries by a perfected first priority lien on the stock of CCC Intelligent Solutions Inc., and substantially all of its assets, subject to various limitations and exceptions.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2021 Credit Agreement contains representations and warranties, and affirmative and negative covenants, that among other things, restrict, subject to certain exceptions, our ability to: incur additional indebtedness, incur liens, engage in mergers, consolidations, liquidations or dissolutions; pay dividends and distributions on, or redeem, repurchase or retire our capital stock; and make certain investments, acquisitions, loans, or advances.</w:t>
      </w:r>
    </w:p>
    <w:p>
      <w:pPr>
        <w:spacing w:after="0" w:line="68"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terms of the 2021 Credit Agreement include a financial covenant which requires that, at the end of each fiscal quarter, if the aggregate amount of borrowings under the 2021 Revolving Credit Facility exceeds 35% of the aggregate commitments of the Company, the leverage ratio of CCC Intelligent Solutions Inc. and certain of its subsidiaries cannot exceed 6.25 to 1.00. Borrowings under the 2021 Revolving Credit Facility did not exceed 35% of the aggregate commitments and the Company was not subject to the leverage test as of March 31, 2026 and 2025.</w:t>
      </w:r>
    </w:p>
    <w:p>
      <w:pPr>
        <w:spacing w:after="0" w:line="7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Interest Rate Swaps—In February 2025, the Company entered into three interest rate swap agreements (the “Swaps”) to reduce its exposure to variability from future cash flows resulting from interest rate risk related to its floating rate long-term debt. Pursuant to the terms of the Swaps, beginning on July 31, 2025, the Company will pay an average fixed interest rate of 3.94% on an aggregate notional amount corresponding to borrowings of $750.0 million in exchange for receipts on the same notional amount at a floating interest rate based on the applicable SOFR at the time of payment. The Swaps expire on July 31, 2027.</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swap agreements was estimated using inputs that were observable or that could be corroborated by observable market data and therefore, was classified within Level 2 of the fair value hierarchy as of March 31, 2026. The Company does not designate its interest rate swap agreements as hedging instruments and records the changes in fair value within earnings. As of March 31, 2026, the aggregate fair value of the Swaps was a liability of $3.0 million (see Note 5).</w:t>
      </w:r>
    </w:p>
    <w:p>
      <w:pPr>
        <w:spacing w:after="0" w:line="72"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Net cash paid related to the Swaps was $0.5 million for the three months ended March 31, 2026, recorded within other income (expense)-net on the condensed consolidated statement of operations and comprehensive income (loss).</w:t>
      </w:r>
    </w:p>
    <w:p>
      <w:pPr>
        <w:spacing w:after="0" w:line="54"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Interest Rate Caps—In August 2022, the Company entered into two interest rate cap agreements to reduce its exposure to increases in interest rates applicable to its floating rate long-term debt. The interest rate cap agreements had an aggregate notional amount of $600.0 million and a one-month SOFR cap rate of 4.00%.</w:t>
      </w:r>
    </w:p>
    <w:p>
      <w:pPr>
        <w:spacing w:after="0" w:line="6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the interest rate cap agreements was estimated using inputs that were observable or that could be corroborated by observable market data and therefore, was classified within Level 2 of the fair value hierarchy as of March 31, 2025. The Company did not designate its interest rate cap agreements as hedging instruments and records the changes in fair value within earnings. As of March 31, 2025, the aggregate fair value of the interest rate cap agreements was $0.6 million. The interest rate cap agreements expired in July 2025.</w:t>
      </w:r>
    </w:p>
    <w:p>
      <w:pPr>
        <w:spacing w:after="0" w:line="7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Cash received related to the interest rate cap agreements was $0.5 million for the three months ended March 31, 2025, recorded within other income (expense)-net on the condensed consolidated statement of operations and comprehensive income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for the three months ended March 31, 2026 and 2025:</w:t>
      </w:r>
    </w:p>
    <w:p>
      <w:pPr>
        <w:spacing w:after="0" w:line="2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2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57,461</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58,492</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(429,979)</w:t>
            </w:r>
          </w:p>
        </w:tc>
      </w:tr>
      <w:tr>
        <w:trPr>
          <w:trHeight w:val="216"/>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(115,925)</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102,840</w:t>
            </w: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effect of exchange rate change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(74,292)</w:t>
            </w: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(268,660)</w:t>
            </w:r>
          </w:p>
        </w:tc>
      </w:tr>
      <w:tr>
        <w:trPr>
          <w:trHeight w:val="20"/>
        </w:trPr>
        <w:tc>
          <w:tcPr>
            <w:tcW w:w="7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20" w:firstLine="554"/>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$57.5 million for the three months ended March 31, 2026. Net cash provided by operating activities consists of a net income of $15.4 million, adjusted for $67.8 million of non-cash items, $23.1 million for decreases in working capital and $2.7 million for the effect of decreases in other operating assets and liabilities. Significant non-cash adjustments include stock-based compensation expense of $31.9 million and depreciation and amortization of $36.3 million, and deferred income taxes of $2.8 million, partially offset by a change in fair value of derivative instruments of $4.4 million. The change in working capital was primarily a result of a decrease in accrued expenses of $25.1 million due to employee incentive plan payments and a decrease in accounts payable of $7.3 million due to timing of payments to suppliers.</w:t>
      </w:r>
    </w:p>
    <w:p>
      <w:pPr>
        <w:spacing w:after="0" w:line="7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$15.9 million for the three months ended March 31, 2026. Net cash used in investing activities was due to $15.9 million of capitalized internally developed software projects and purchases of software, equipment, and property.</w:t>
      </w:r>
    </w:p>
    <w:p>
      <w:pPr>
        <w:spacing w:after="0" w:line="5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$115.9 million for the three months ended March 31, 2026. Net cash used in financing activities was primarily due to $100.2 million for a repurchase of common stock, $17.3 million of payments for employee tax liabilities related to the net share settlement of employee equity awards and $3.3 million of principal payments of long-term debt.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our management to make estimates, judgments and assumptions that affect the reported amounts of assets, liabilities, revenue, costs, and expenses and related disclosures. Our estimates are based on our historical experience, trends and various other assumptions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7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policies and estimates disclosed in our audited consolidated financial statements and notes thereto for the year ended December 31, 2025, in our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compared to the disclosures in Part II, Item 7A of our Annual Report on Form 10-K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(“Exchange Act”)), as of the end of the period covered by this Quarterly Report on Form 10-Q. Based on this evaluation, our principal executive officer and principal financial officer have concluded that as of March 31, 2026,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31, 2026 identified in management’s evaluation pursuant to Rules 13a-15(d) and 15d-15(d) of the Exchange Act that materially affected, or are reasonably likely to materially affect, our internal control over financial reporting.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from time to time, involved in various pending or threatened legal actions. The litigation process is inherently uncertain, and it is possible that the resolution of such matters might have a material adverse effect on the Company’s consolidated financial condition and/or results of operations. The Company’s management believes, based on current information, matters currently pending or threatened are not expected to have a material adverse effect on the Company’s consolidated financial position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risk factors relating to our business, please refer to the section entitled “Risk Factors” in our Annual Report on Form 10-K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Any of these factors could result in a significant or material adverse effect on the results of our operations or financial condition.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risk factors not presently known to us or that we currently deem immaterial may also impair our business or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set forth below summarizes the Company’s purchases of its common stock during the three months ended March 31, 2026.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5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3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 Dollar Value</w:t>
            </w:r>
          </w:p>
        </w:tc>
        <w:tc>
          <w:tcPr>
            <w:tcW w:w="0" w:type="dxa"/>
            <w:vAlign w:val="bottom"/>
          </w:tcPr>
          <w:p>
            <w:pPr>
              <w:spacing w:after="0"/>
              <w:rPr>
                <w:sz w:val="1"/>
                <w:szCs w:val="1"/>
                <w:color w:val="auto"/>
              </w:rPr>
            </w:pPr>
          </w:p>
        </w:tc>
      </w:tr>
      <w:tr>
        <w:trPr>
          <w:trHeight w:val="203"/>
        </w:trPr>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 Part of</w:t>
            </w:r>
          </w:p>
        </w:tc>
        <w:tc>
          <w:tcPr>
            <w:tcW w:w="3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that May Yet Be</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2"/>
          </w:tcPr>
          <w:p>
            <w:pPr>
              <w:jc w:val="right"/>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Average Purchase Price</w:t>
            </w:r>
          </w:p>
        </w:tc>
        <w:tc>
          <w:tcPr>
            <w:tcW w:w="2340" w:type="dxa"/>
            <w:vAlign w:val="bottom"/>
            <w:gridSpan w:val="2"/>
          </w:tcPr>
          <w:p>
            <w:pPr>
              <w:jc w:val="center"/>
              <w:ind w:left="239"/>
              <w:spacing w:after="0" w:line="175" w:lineRule="exact"/>
              <w:rPr>
                <w:sz w:val="20"/>
                <w:szCs w:val="20"/>
                <w:color w:val="auto"/>
              </w:rPr>
            </w:pPr>
            <w:r>
              <w:rPr>
                <w:rFonts w:ascii="Times New Roman" w:cs="Times New Roman" w:eastAsia="Times New Roman" w:hAnsi="Times New Roman"/>
                <w:sz w:val="16"/>
                <w:szCs w:val="16"/>
                <w:b w:val="1"/>
                <w:bCs w:val="1"/>
                <w:color w:val="auto"/>
              </w:rPr>
              <w:t>Publicly Announced Plans or</w:t>
            </w:r>
          </w:p>
        </w:tc>
        <w:tc>
          <w:tcPr>
            <w:tcW w:w="320" w:type="dxa"/>
            <w:vAlign w:val="bottom"/>
          </w:tcPr>
          <w:p>
            <w:pPr>
              <w:spacing w:after="0"/>
              <w:rPr>
                <w:sz w:val="15"/>
                <w:szCs w:val="15"/>
                <w:color w:val="auto"/>
              </w:rPr>
            </w:pPr>
          </w:p>
        </w:tc>
        <w:tc>
          <w:tcPr>
            <w:tcW w:w="2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Purchased Under the Plans</w:t>
            </w:r>
          </w:p>
        </w:tc>
        <w:tc>
          <w:tcPr>
            <w:tcW w:w="0" w:type="dxa"/>
            <w:vAlign w:val="bottom"/>
          </w:tcPr>
          <w:p>
            <w:pPr>
              <w:spacing w:after="0"/>
              <w:rPr>
                <w:sz w:val="1"/>
                <w:szCs w:val="1"/>
                <w:color w:val="auto"/>
              </w:rPr>
            </w:pPr>
          </w:p>
        </w:tc>
      </w:tr>
      <w:tr>
        <w:trPr>
          <w:trHeight w:val="246"/>
        </w:trPr>
        <w:tc>
          <w:tcPr>
            <w:tcW w:w="17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0" w:type="dxa"/>
            <w:vAlign w:val="bottom"/>
          </w:tcPr>
          <w:p>
            <w:pPr>
              <w:spacing w:after="0"/>
              <w:rPr>
                <w:sz w:val="21"/>
                <w:szCs w:val="21"/>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 Number of Shares Purchased</w:t>
            </w:r>
          </w:p>
        </w:tc>
        <w:tc>
          <w:tcPr>
            <w:tcW w:w="3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2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 xml:space="preserve">Programs </w:t>
            </w:r>
            <w:r>
              <w:rPr>
                <w:rFonts w:ascii="Times New Roman" w:cs="Times New Roman" w:eastAsia="Times New Roman" w:hAnsi="Times New Roman"/>
                <w:sz w:val="21"/>
                <w:szCs w:val="21"/>
                <w:b w:val="1"/>
                <w:bCs w:val="1"/>
                <w:color w:val="auto"/>
                <w:w w:val="97"/>
                <w:vertAlign w:val="superscript"/>
              </w:rPr>
              <w:t>(1)</w:t>
            </w:r>
          </w:p>
        </w:tc>
        <w:tc>
          <w:tcPr>
            <w:tcW w:w="320" w:type="dxa"/>
            <w:vAlign w:val="bottom"/>
          </w:tcPr>
          <w:p>
            <w:pPr>
              <w:spacing w:after="0"/>
              <w:rPr>
                <w:sz w:val="21"/>
                <w:szCs w:val="21"/>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or Programs</w:t>
            </w:r>
          </w:p>
        </w:tc>
        <w:tc>
          <w:tcPr>
            <w:tcW w:w="0" w:type="dxa"/>
            <w:vAlign w:val="bottom"/>
          </w:tcPr>
          <w:p>
            <w:pPr>
              <w:spacing w:after="0"/>
              <w:rPr>
                <w:sz w:val="1"/>
                <w:szCs w:val="1"/>
                <w:color w:val="auto"/>
              </w:rPr>
            </w:pPr>
          </w:p>
        </w:tc>
      </w:tr>
      <w:tr>
        <w:trPr>
          <w:trHeight w:val="182"/>
        </w:trPr>
        <w:tc>
          <w:tcPr>
            <w:tcW w:w="17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January 1, 2026 - January</w:t>
            </w:r>
          </w:p>
        </w:tc>
        <w:tc>
          <w:tcPr>
            <w:tcW w:w="120" w:type="dxa"/>
            <w:vAlign w:val="bottom"/>
            <w:shd w:val="clear" w:color="auto" w:fill="CFF0FC"/>
          </w:tcPr>
          <w:p>
            <w:pPr>
              <w:spacing w:after="0"/>
              <w:rPr>
                <w:sz w:val="15"/>
                <w:szCs w:val="15"/>
                <w:color w:val="auto"/>
              </w:rPr>
            </w:pPr>
          </w:p>
        </w:tc>
        <w:tc>
          <w:tcPr>
            <w:tcW w:w="25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31, 2026</w:t>
            </w:r>
          </w:p>
        </w:tc>
        <w:tc>
          <w:tcPr>
            <w:tcW w:w="120" w:type="dxa"/>
            <w:vAlign w:val="bottom"/>
            <w:shd w:val="clear" w:color="auto" w:fill="CFF0FC"/>
          </w:tcPr>
          <w:p>
            <w:pPr>
              <w:spacing w:after="0"/>
              <w:rPr>
                <w:sz w:val="18"/>
                <w:szCs w:val="18"/>
                <w:color w:val="auto"/>
              </w:rPr>
            </w:pP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8"/>
                <w:szCs w:val="18"/>
                <w:color w:val="auto"/>
              </w:rPr>
            </w:pPr>
          </w:p>
        </w:tc>
        <w:tc>
          <w:tcPr>
            <w:tcW w:w="202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w w:val="99"/>
              </w:rPr>
              <w:t>$200.0 million</w:t>
            </w:r>
          </w:p>
        </w:tc>
        <w:tc>
          <w:tcPr>
            <w:tcW w:w="0" w:type="dxa"/>
            <w:vAlign w:val="bottom"/>
          </w:tcPr>
          <w:p>
            <w:pPr>
              <w:spacing w:after="0"/>
              <w:rPr>
                <w:sz w:val="1"/>
                <w:szCs w:val="1"/>
                <w:color w:val="auto"/>
              </w:rPr>
            </w:pPr>
          </w:p>
        </w:tc>
      </w:tr>
      <w:tr>
        <w:trPr>
          <w:trHeight w:val="159"/>
        </w:trPr>
        <w:tc>
          <w:tcPr>
            <w:tcW w:w="178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February 1, 2026 -</w:t>
            </w: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February 28, 2026 </w:t>
            </w:r>
            <w:r>
              <w:rPr>
                <w:rFonts w:ascii="Times New Roman" w:cs="Times New Roman" w:eastAsia="Times New Roman" w:hAnsi="Times New Roman"/>
                <w:sz w:val="21"/>
                <w:szCs w:val="21"/>
                <w:b w:val="1"/>
                <w:bCs w:val="1"/>
                <w:color w:val="auto"/>
                <w:vertAlign w:val="superscript"/>
              </w:rPr>
              <w:t>(2)</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9,606,474</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9,606,474</w:t>
            </w:r>
          </w:p>
        </w:tc>
        <w:tc>
          <w:tcPr>
            <w:tcW w:w="320" w:type="dxa"/>
            <w:vAlign w:val="bottom"/>
          </w:tcPr>
          <w:p>
            <w:pPr>
              <w:spacing w:after="0"/>
              <w:rPr>
                <w:sz w:val="21"/>
                <w:szCs w:val="21"/>
                <w:color w:val="auto"/>
              </w:rPr>
            </w:pPr>
          </w:p>
        </w:tc>
        <w:tc>
          <w:tcPr>
            <w:tcW w:w="202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9"/>
              </w:rPr>
              <w:t>$200.0 million</w:t>
            </w: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March 1, 2026 - March 31,</w:t>
            </w:r>
          </w:p>
        </w:tc>
        <w:tc>
          <w:tcPr>
            <w:tcW w:w="120" w:type="dxa"/>
            <w:vAlign w:val="bottom"/>
            <w:vMerge w:val="restart"/>
            <w:shd w:val="clear" w:color="auto" w:fill="CFF0FC"/>
          </w:tcPr>
          <w:p>
            <w:pPr>
              <w:spacing w:after="0"/>
              <w:rPr>
                <w:sz w:val="16"/>
                <w:szCs w:val="16"/>
                <w:color w:val="auto"/>
              </w:rPr>
            </w:pPr>
          </w:p>
        </w:tc>
        <w:tc>
          <w:tcPr>
            <w:tcW w:w="2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16,565,982</w:t>
            </w: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320" w:type="dxa"/>
            <w:vAlign w:val="bottom"/>
            <w:vMerge w:val="restart"/>
            <w:shd w:val="clear" w:color="auto" w:fill="CFF0FC"/>
          </w:tcPr>
          <w:p>
            <w:pPr>
              <w:spacing w:after="0"/>
              <w:rPr>
                <w:sz w:val="16"/>
                <w:szCs w:val="16"/>
                <w:color w:val="auto"/>
              </w:rPr>
            </w:pPr>
          </w:p>
        </w:tc>
        <w:tc>
          <w:tcPr>
            <w:tcW w:w="2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16,565,982</w:t>
            </w:r>
          </w:p>
        </w:tc>
        <w:tc>
          <w:tcPr>
            <w:tcW w:w="320" w:type="dxa"/>
            <w:vAlign w:val="bottom"/>
            <w:shd w:val="clear" w:color="auto" w:fill="CFF0FC"/>
          </w:tcPr>
          <w:p>
            <w:pPr>
              <w:spacing w:after="0"/>
              <w:rPr>
                <w:sz w:val="16"/>
                <w:szCs w:val="16"/>
                <w:color w:val="auto"/>
              </w:rPr>
            </w:pPr>
          </w:p>
        </w:tc>
        <w:tc>
          <w:tcPr>
            <w:tcW w:w="2020" w:type="dxa"/>
            <w:vAlign w:val="bottom"/>
            <w:vMerge w:val="restart"/>
            <w:shd w:val="clear" w:color="auto" w:fill="CFF0FC"/>
          </w:tcPr>
          <w:p>
            <w:pPr>
              <w:ind w:left="1060"/>
              <w:spacing w:after="0"/>
              <w:rPr>
                <w:sz w:val="20"/>
                <w:szCs w:val="20"/>
                <w:color w:val="auto"/>
              </w:rPr>
            </w:pPr>
            <w:r>
              <w:rPr>
                <w:rFonts w:ascii="Times New Roman" w:cs="Times New Roman" w:eastAsia="Times New Roman" w:hAnsi="Times New Roman"/>
                <w:sz w:val="16"/>
                <w:szCs w:val="16"/>
                <w:color w:val="auto"/>
                <w:w w:val="99"/>
              </w:rPr>
              <w:t>$100.0 million</w:t>
            </w:r>
          </w:p>
        </w:tc>
        <w:tc>
          <w:tcPr>
            <w:tcW w:w="0" w:type="dxa"/>
            <w:vAlign w:val="bottom"/>
          </w:tcPr>
          <w:p>
            <w:pPr>
              <w:spacing w:after="0"/>
              <w:rPr>
                <w:sz w:val="1"/>
                <w:szCs w:val="1"/>
                <w:color w:val="auto"/>
              </w:rPr>
            </w:pPr>
          </w:p>
        </w:tc>
      </w:tr>
      <w:tr>
        <w:trPr>
          <w:trHeight w:val="203"/>
        </w:trPr>
        <w:tc>
          <w:tcPr>
            <w:tcW w:w="1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CFF0FC"/>
            </w:tcBorders>
            <w:vMerge w:val="continue"/>
            <w:shd w:val="clear" w:color="auto" w:fill="CFF0FC"/>
          </w:tcPr>
          <w:p>
            <w:pPr>
              <w:spacing w:after="0"/>
              <w:rPr>
                <w:sz w:val="17"/>
                <w:szCs w:val="17"/>
                <w:color w:val="auto"/>
              </w:rPr>
            </w:pPr>
          </w:p>
        </w:tc>
        <w:tc>
          <w:tcPr>
            <w:tcW w:w="2500" w:type="dxa"/>
            <w:vAlign w:val="bottom"/>
            <w:tcBorders>
              <w:bottom w:val="single" w:sz="8" w:color="auto"/>
            </w:tcBorders>
            <w:vMerge w:val="continue"/>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vMerge w:val="continue"/>
            <w:shd w:val="clear" w:color="auto" w:fill="CFF0FC"/>
          </w:tcPr>
          <w:p>
            <w:pPr>
              <w:spacing w:after="0"/>
              <w:rPr>
                <w:sz w:val="17"/>
                <w:szCs w:val="17"/>
                <w:color w:val="auto"/>
              </w:rPr>
            </w:pPr>
          </w:p>
        </w:tc>
        <w:tc>
          <w:tcPr>
            <w:tcW w:w="320" w:type="dxa"/>
            <w:vAlign w:val="bottom"/>
            <w:tcBorders>
              <w:bottom w:val="single" w:sz="8" w:color="CFF0FC"/>
            </w:tcBorders>
            <w:vMerge w:val="continue"/>
            <w:shd w:val="clear" w:color="auto" w:fill="CFF0FC"/>
          </w:tcPr>
          <w:p>
            <w:pPr>
              <w:spacing w:after="0"/>
              <w:rPr>
                <w:sz w:val="17"/>
                <w:szCs w:val="17"/>
                <w:color w:val="auto"/>
              </w:rPr>
            </w:pPr>
          </w:p>
        </w:tc>
        <w:tc>
          <w:tcPr>
            <w:tcW w:w="2020" w:type="dxa"/>
            <w:vAlign w:val="bottom"/>
            <w:tcBorders>
              <w:bottom w:val="single" w:sz="8" w:color="auto"/>
            </w:tcBorders>
            <w:vMerge w:val="continue"/>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20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26,172,456</w:t>
            </w:r>
          </w:p>
        </w:tc>
        <w:tc>
          <w:tcPr>
            <w:tcW w:w="6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6.036</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26,172,456</w:t>
            </w:r>
          </w:p>
        </w:tc>
        <w:tc>
          <w:tcPr>
            <w:tcW w:w="320" w:type="dxa"/>
            <w:vAlign w:val="bottom"/>
          </w:tcPr>
          <w:p>
            <w:pPr>
              <w:spacing w:after="0"/>
              <w:rPr>
                <w:sz w:val="17"/>
                <w:szCs w:val="17"/>
                <w:color w:val="auto"/>
              </w:rPr>
            </w:pPr>
          </w:p>
        </w:tc>
        <w:tc>
          <w:tcPr>
            <w:tcW w:w="2020" w:type="dxa"/>
            <w:vAlign w:val="bottom"/>
          </w:tcPr>
          <w:p>
            <w:pPr>
              <w:ind w:left="1060"/>
              <w:spacing w:after="0"/>
              <w:rPr>
                <w:sz w:val="20"/>
                <w:szCs w:val="20"/>
                <w:color w:val="auto"/>
              </w:rPr>
            </w:pPr>
            <w:r>
              <w:rPr>
                <w:rFonts w:ascii="Times New Roman" w:cs="Times New Roman" w:eastAsia="Times New Roman" w:hAnsi="Times New Roman"/>
                <w:sz w:val="16"/>
                <w:szCs w:val="16"/>
                <w:color w:val="auto"/>
                <w:w w:val="99"/>
              </w:rPr>
              <w:t>$100.0 million</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-162560</wp:posOffset>
            </wp:positionV>
            <wp:extent cx="774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-162560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-162560</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20" w:firstLine="8"/>
        <w:spacing w:after="0" w:line="242" w:lineRule="auto"/>
        <w:tabs>
          <w:tab w:leader="none" w:pos="185"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December 2025, the Company’s board of directors authorized the repurchase of up to $500.0 million of the Company’s outstanding shares of common stock. The program has no expiration date.</w:t>
      </w:r>
    </w:p>
    <w:p>
      <w:pPr>
        <w:spacing w:after="0" w:line="101" w:lineRule="exact"/>
        <w:rPr>
          <w:rFonts w:ascii="Times New Roman" w:cs="Times New Roman" w:eastAsia="Times New Roman" w:hAnsi="Times New Roman"/>
          <w:sz w:val="22"/>
          <w:szCs w:val="22"/>
          <w:color w:val="auto"/>
          <w:vertAlign w:val="superscript"/>
        </w:rPr>
      </w:pPr>
    </w:p>
    <w:p>
      <w:pPr>
        <w:ind w:right="80" w:firstLine="8"/>
        <w:spacing w:after="0" w:line="259" w:lineRule="auto"/>
        <w:tabs>
          <w:tab w:leader="none" w:pos="185"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December 2025, the Company entered into an accelerated share repurchase agreement “ASR” to repurchase $300.0 million of the Company’s outstanding shares of common stock. The ASR was entered into as part of our share repurchase program described above. The Company pre-paid $300.0 million in December 2025 and received an initial delivery of 33,240,998 shares of common stock. The agreement was settled with the delivery of an additional 9,606,474 shares of common stock in February 2026. The total number of shares ultimately delivered under the ASR was 42,847,472 shares and therefore the average purchase price paid per share of $7.00, was determined based upon the volume-weighted average market price of our common stock during the term of the agreement, less a discount.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 w:type="dxa"/>
            <w:vAlign w:val="bottom"/>
          </w:tcPr>
          <w:p>
            <w:pPr>
              <w:spacing w:after="0"/>
              <w:rPr>
                <w:sz w:val="21"/>
                <w:szCs w:val="21"/>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Borders>
              <w:bottom w:val="single" w:sz="8" w:color="CCEEFF"/>
            </w:tcBorders>
            <w:shd w:val="clear" w:color="auto" w:fill="CCEEFF"/>
          </w:tcPr>
          <w:p>
            <w:pPr>
              <w:spacing w:after="0"/>
              <w:rPr>
                <w:sz w:val="15"/>
                <w:szCs w:val="15"/>
                <w:color w:val="auto"/>
              </w:rPr>
            </w:pPr>
          </w:p>
        </w:tc>
        <w:tc>
          <w:tcPr>
            <w:tcW w:w="9660" w:type="dxa"/>
            <w:vAlign w:val="bottom"/>
            <w:tcBorders>
              <w:bottom w:val="single" w:sz="8" w:color="0000FF"/>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(Principal Executive Officer) Pursuant to Rules 13a-14(a) and 15d-14(a) under the Securities</w:t>
            </w:r>
          </w:p>
        </w:tc>
        <w:tc>
          <w:tcPr>
            <w:tcW w:w="58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880" w:type="dxa"/>
            <w:vAlign w:val="bottom"/>
            <w:tcBorders>
              <w:bottom w:val="single" w:sz="8" w:color="0000FF"/>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Exchange Act of 1934, as Adopted Pursuant to Section 302 of the Sarbanes-Oxley Act of 2002.</w:t>
            </w:r>
          </w:p>
        </w:tc>
        <w:tc>
          <w:tcPr>
            <w:tcW w:w="3360" w:type="dxa"/>
            <w:vAlign w:val="bottom"/>
            <w:tcBorders>
              <w:bottom w:val="single" w:sz="8" w:color="CCEEFF"/>
            </w:tcBorders>
            <w:gridSpan w:val="5"/>
            <w:shd w:val="clear" w:color="auto" w:fill="CCEEFF"/>
          </w:tcPr>
          <w:p>
            <w:pPr>
              <w:spacing w:after="0"/>
              <w:rPr>
                <w:sz w:val="18"/>
                <w:szCs w:val="18"/>
                <w:color w:val="auto"/>
              </w:rPr>
            </w:pPr>
          </w:p>
        </w:tc>
      </w:tr>
      <w:tr>
        <w:trPr>
          <w:trHeight w:val="175"/>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5"/>
                <w:szCs w:val="15"/>
                <w:color w:val="auto"/>
              </w:rPr>
            </w:pPr>
          </w:p>
        </w:tc>
        <w:tc>
          <w:tcPr>
            <w:tcW w:w="9980" w:type="dxa"/>
            <w:vAlign w:val="bottom"/>
            <w:tcBorders>
              <w:bottom w:val="single" w:sz="8" w:color="0000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Financial Officer (Principal Financial and Accounting Officer) Pursuant to Rules 13a-14(a) and 15d-14(a) under the</w:t>
            </w:r>
          </w:p>
        </w:tc>
        <w:tc>
          <w:tcPr>
            <w:tcW w:w="260" w:type="dxa"/>
            <w:vAlign w:val="bottom"/>
            <w:gridSpan w:val="2"/>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 of 2002.</w:t>
            </w:r>
          </w:p>
        </w:tc>
      </w:tr>
      <w:tr>
        <w:trPr>
          <w:trHeight w:val="21"/>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60" w:type="dxa"/>
            <w:vAlign w:val="bottom"/>
            <w:tcBorders>
              <w:top w:val="single" w:sz="8" w:color="0000FF"/>
            </w:tcBorders>
          </w:tcPr>
          <w:p>
            <w:pPr>
              <w:spacing w:after="0" w:line="20" w:lineRule="exact"/>
              <w:rPr>
                <w:sz w:val="1"/>
                <w:szCs w:val="1"/>
                <w:color w:val="auto"/>
              </w:rPr>
            </w:pPr>
          </w:p>
        </w:tc>
        <w:tc>
          <w:tcPr>
            <w:tcW w:w="402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60" w:type="dxa"/>
            <w:vAlign w:val="bottom"/>
            <w:tcBorders>
              <w:bottom w:val="single" w:sz="8" w:color="CCEEFF"/>
            </w:tcBorders>
            <w:shd w:val="clear" w:color="auto" w:fill="CCEEFF"/>
          </w:tcPr>
          <w:p>
            <w:pPr>
              <w:spacing w:after="0"/>
              <w:rPr>
                <w:sz w:val="15"/>
                <w:szCs w:val="15"/>
                <w:color w:val="auto"/>
              </w:rPr>
            </w:pPr>
          </w:p>
        </w:tc>
        <w:tc>
          <w:tcPr>
            <w:tcW w:w="10020" w:type="dxa"/>
            <w:vAlign w:val="bottom"/>
            <w:tcBorders>
              <w:bottom w:val="single" w:sz="8" w:color="0000FF"/>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(Principal Executive Officer) Pursuant to 18 U.S.C. Section 1350, as Adopted Pursuant to Section</w:t>
            </w:r>
          </w:p>
        </w:tc>
        <w:tc>
          <w:tcPr>
            <w:tcW w:w="22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4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460" w:type="dxa"/>
            <w:vAlign w:val="bottom"/>
            <w:tcBorders>
              <w:top w:val="single" w:sz="8" w:color="0000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15"/>
                <w:szCs w:val="15"/>
                <w:color w:val="auto"/>
              </w:rPr>
            </w:pPr>
          </w:p>
        </w:tc>
        <w:tc>
          <w:tcPr>
            <w:tcW w:w="10240" w:type="dxa"/>
            <w:vAlign w:val="bottom"/>
            <w:tcBorders>
              <w:bottom w:val="single" w:sz="8" w:color="0000FF"/>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 Act of</w:t>
            </w:r>
          </w:p>
        </w:tc>
      </w:tr>
      <w:tr>
        <w:trPr>
          <w:trHeight w:val="196"/>
        </w:trPr>
        <w:tc>
          <w:tcPr>
            <w:tcW w:w="920" w:type="dxa"/>
            <w:vAlign w:val="bottom"/>
          </w:tcPr>
          <w:p>
            <w:pPr>
              <w:spacing w:after="0"/>
              <w:rPr>
                <w:sz w:val="17"/>
                <w:szCs w:val="17"/>
                <w:color w:val="auto"/>
              </w:rPr>
            </w:pPr>
          </w:p>
        </w:tc>
        <w:tc>
          <w:tcPr>
            <w:tcW w:w="2920" w:type="dxa"/>
            <w:vAlign w:val="bottom"/>
            <w:gridSpan w:val="3"/>
          </w:tcPr>
          <w:p>
            <w:pPr>
              <w:ind w:left="60"/>
              <w:spacing w:after="0" w:line="196" w:lineRule="exact"/>
              <w:rPr>
                <w:sz w:val="20"/>
                <w:szCs w:val="20"/>
                <w:color w:val="auto"/>
              </w:rPr>
            </w:pPr>
            <w:r>
              <w:rPr>
                <w:rFonts w:ascii="Times New Roman" w:cs="Times New Roman" w:eastAsia="Times New Roman" w:hAnsi="Times New Roman"/>
                <w:sz w:val="18"/>
                <w:szCs w:val="18"/>
                <w:color w:val="0000FF"/>
              </w:rPr>
              <w:t>2002.</w:t>
            </w:r>
          </w:p>
        </w:tc>
        <w:tc>
          <w:tcPr>
            <w:tcW w:w="4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shd w:val="clear" w:color="auto" w:fill="CCEEFF"/>
          </w:tcPr>
          <w:p>
            <w:pPr>
              <w:spacing w:after="0"/>
              <w:rPr>
                <w:sz w:val="18"/>
                <w:szCs w:val="18"/>
                <w:color w:val="auto"/>
              </w:rPr>
            </w:pPr>
          </w:p>
        </w:tc>
        <w:tc>
          <w:tcPr>
            <w:tcW w:w="10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18"/>
                <w:szCs w:val="18"/>
                <w:color w:val="auto"/>
              </w:rPr>
            </w:pPr>
          </w:p>
        </w:tc>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198"/>
        </w:trPr>
        <w:tc>
          <w:tcPr>
            <w:tcW w:w="9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7"/>
                <w:szCs w:val="17"/>
                <w:color w:val="auto"/>
              </w:rPr>
            </w:pPr>
          </w:p>
        </w:tc>
        <w:tc>
          <w:tcPr>
            <w:tcW w:w="10240" w:type="dxa"/>
            <w:vAlign w:val="bottom"/>
            <w:gridSpan w:val="8"/>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w:t>
            </w:r>
          </w:p>
        </w:tc>
      </w:tr>
      <w:tr>
        <w:trPr>
          <w:trHeight w:val="234"/>
        </w:trPr>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4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w w:val="99"/>
              </w:rPr>
              <w:t>__________</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April 30, 2026</w:t>
            </w:r>
          </w:p>
        </w:tc>
        <w:tc>
          <w:tcPr>
            <w:tcW w:w="7680" w:type="dxa"/>
            <w:vAlign w:val="bottom"/>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CCC INTELLIGENT SOLUTIONS HOLDINGS INC.</w:t>
            </w:r>
          </w:p>
        </w:tc>
      </w:tr>
      <w:tr>
        <w:trPr>
          <w:trHeight w:val="439"/>
        </w:trPr>
        <w:tc>
          <w:tcPr>
            <w:tcW w:w="356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Githesh Ramamurthy</w:t>
            </w:r>
          </w:p>
        </w:tc>
      </w:tr>
      <w:tr>
        <w:trPr>
          <w:trHeight w:val="198"/>
        </w:trPr>
        <w:tc>
          <w:tcPr>
            <w:tcW w:w="3560" w:type="dxa"/>
            <w:vAlign w:val="bottom"/>
          </w:tcPr>
          <w:p>
            <w:pPr>
              <w:spacing w:after="0"/>
              <w:rPr>
                <w:sz w:val="17"/>
                <w:szCs w:val="17"/>
                <w:color w:val="auto"/>
              </w:rPr>
            </w:pPr>
          </w:p>
        </w:tc>
        <w:tc>
          <w:tcPr>
            <w:tcW w:w="2620" w:type="dxa"/>
            <w:vAlign w:val="bottom"/>
          </w:tcPr>
          <w:p>
            <w:pPr>
              <w:ind w:left="19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Githesh Ramamurthy</w:t>
            </w:r>
          </w:p>
        </w:tc>
        <w:tc>
          <w:tcPr>
            <w:tcW w:w="120" w:type="dxa"/>
            <w:vAlign w:val="bottom"/>
          </w:tcPr>
          <w:p>
            <w:pPr>
              <w:spacing w:after="0"/>
              <w:rPr>
                <w:sz w:val="17"/>
                <w:szCs w:val="17"/>
                <w:color w:val="auto"/>
              </w:rPr>
            </w:pPr>
          </w:p>
        </w:tc>
      </w:tr>
      <w:tr>
        <w:trPr>
          <w:trHeight w:val="216"/>
        </w:trPr>
        <w:tc>
          <w:tcPr>
            <w:tcW w:w="356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r>
      <w:tr>
        <w:trPr>
          <w:trHeight w:val="234"/>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April 30, 2026</w:t>
            </w:r>
          </w:p>
        </w:tc>
        <w:tc>
          <w:tcPr>
            <w:tcW w:w="26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9"/>
        </w:trPr>
        <w:tc>
          <w:tcPr>
            <w:tcW w:w="356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Brian Herb</w:t>
            </w:r>
          </w:p>
        </w:tc>
      </w:tr>
      <w:tr>
        <w:trPr>
          <w:trHeight w:val="198"/>
        </w:trPr>
        <w:tc>
          <w:tcPr>
            <w:tcW w:w="3560" w:type="dxa"/>
            <w:vAlign w:val="bottom"/>
          </w:tcPr>
          <w:p>
            <w:pPr>
              <w:spacing w:after="0"/>
              <w:rPr>
                <w:sz w:val="17"/>
                <w:szCs w:val="17"/>
                <w:color w:val="auto"/>
              </w:rPr>
            </w:pPr>
          </w:p>
        </w:tc>
        <w:tc>
          <w:tcPr>
            <w:tcW w:w="2620" w:type="dxa"/>
            <w:vAlign w:val="bottom"/>
          </w:tcPr>
          <w:p>
            <w:pPr>
              <w:ind w:left="19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Brian Herb</w:t>
            </w:r>
          </w:p>
        </w:tc>
        <w:tc>
          <w:tcPr>
            <w:tcW w:w="120" w:type="dxa"/>
            <w:vAlign w:val="bottom"/>
          </w:tcPr>
          <w:p>
            <w:pPr>
              <w:spacing w:after="0"/>
              <w:rPr>
                <w:sz w:val="17"/>
                <w:szCs w:val="17"/>
                <w:color w:val="auto"/>
              </w:rPr>
            </w:pPr>
          </w:p>
        </w:tc>
      </w:tr>
      <w:tr>
        <w:trPr>
          <w:trHeight w:val="216"/>
        </w:trPr>
        <w:tc>
          <w:tcPr>
            <w:tcW w:w="356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and Administrative</w:t>
            </w:r>
          </w:p>
        </w:tc>
      </w:tr>
      <w:tr>
        <w:trPr>
          <w:trHeight w:val="216"/>
        </w:trPr>
        <w:tc>
          <w:tcPr>
            <w:tcW w:w="3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234"/>
        </w:trPr>
        <w:tc>
          <w:tcPr>
            <w:tcW w:w="3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560" w:type="dxa"/>
            <w:vAlign w:val="bottom"/>
          </w:tcPr>
          <w:p>
            <w:pPr>
              <w:spacing w:after="0"/>
              <w:rPr>
                <w:sz w:val="24"/>
                <w:szCs w:val="24"/>
                <w:color w:val="auto"/>
              </w:rPr>
            </w:pPr>
          </w:p>
        </w:tc>
        <w:tc>
          <w:tcPr>
            <w:tcW w:w="26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43</w:t>
            </w: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5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Githesh Ramamurthy, certify that:</w:t>
      </w:r>
    </w:p>
    <w:p>
      <w:pPr>
        <w:spacing w:after="0" w:line="223"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CCC Intelligent Solutions Holdings Inc.;</w:t>
      </w:r>
    </w:p>
    <w:p>
      <w:pPr>
        <w:spacing w:after="0" w:line="211" w:lineRule="exact"/>
        <w:rPr>
          <w:rFonts w:ascii="Times New Roman" w:cs="Times New Roman" w:eastAsia="Times New Roman" w:hAnsi="Times New Roman"/>
          <w:sz w:val="18"/>
          <w:szCs w:val="18"/>
          <w:color w:val="auto"/>
        </w:rPr>
      </w:pPr>
    </w:p>
    <w:p>
      <w:pPr>
        <w:ind w:left="380" w:right="160" w:hanging="372"/>
        <w:spacing w:after="0" w:line="267"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380" w:right="240" w:hanging="372"/>
        <w:spacing w:after="0" w:line="267"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380" w:right="60" w:hanging="372"/>
        <w:spacing w:after="0" w:line="257"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760" w:right="300" w:hanging="3"/>
        <w:spacing w:after="0" w:line="265" w:lineRule="auto"/>
        <w:tabs>
          <w:tab w:leader="none" w:pos="110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100" w:hanging="343"/>
        <w:spacing w:after="0"/>
        <w:tabs>
          <w:tab w:leader="none" w:pos="11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52525"/>
        </w:rPr>
        <w:t>Designed such internal control over financial reporting, or caused such internal control over financial reporting to be designed under our</w:t>
      </w:r>
    </w:p>
    <w:p>
      <w:pPr>
        <w:spacing w:after="0" w:line="25" w:lineRule="exact"/>
        <w:rPr>
          <w:rFonts w:ascii="Times New Roman" w:cs="Times New Roman" w:eastAsia="Times New Roman" w:hAnsi="Times New Roman"/>
          <w:sz w:val="17"/>
          <w:szCs w:val="17"/>
          <w:color w:val="auto"/>
        </w:rPr>
      </w:pPr>
    </w:p>
    <w:p>
      <w:pPr>
        <w:ind w:left="760" w:right="5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52525"/>
        </w:rPr>
        <w:t>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760" w:right="920" w:hanging="3"/>
        <w:spacing w:after="0" w:line="281" w:lineRule="auto"/>
        <w:tabs>
          <w:tab w:leader="none" w:pos="110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7"/>
          <w:szCs w:val="17"/>
          <w:color w:val="auto"/>
        </w:rPr>
      </w:pPr>
    </w:p>
    <w:p>
      <w:pPr>
        <w:ind w:left="760" w:right="20" w:hanging="3"/>
        <w:spacing w:after="0" w:line="281" w:lineRule="auto"/>
        <w:tabs>
          <w:tab w:leader="none" w:pos="110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380" w:right="800" w:hanging="372"/>
        <w:spacing w:after="0" w:line="267"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8"/>
          <w:szCs w:val="18"/>
          <w:color w:val="auto"/>
        </w:rPr>
      </w:pPr>
    </w:p>
    <w:p>
      <w:pPr>
        <w:ind w:left="760" w:right="360" w:hanging="3"/>
        <w:spacing w:after="0" w:line="281" w:lineRule="auto"/>
        <w:tabs>
          <w:tab w:leader="none" w:pos="110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7"/>
          <w:szCs w:val="17"/>
          <w:color w:val="auto"/>
        </w:rPr>
      </w:pPr>
    </w:p>
    <w:p>
      <w:pPr>
        <w:ind w:left="760" w:right="300" w:hanging="3"/>
        <w:spacing w:after="0" w:line="281" w:lineRule="auto"/>
        <w:tabs>
          <w:tab w:leader="none" w:pos="110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tabs>
          <w:tab w:leader="none" w:pos="4640" w:val="left"/>
        </w:tabs>
        <w:rPr>
          <w:sz w:val="20"/>
          <w:szCs w:val="20"/>
          <w:color w:val="auto"/>
        </w:rPr>
      </w:pPr>
      <w:r>
        <w:rPr>
          <w:rFonts w:ascii="Times New Roman" w:cs="Times New Roman" w:eastAsia="Times New Roman" w:hAnsi="Times New Roman"/>
          <w:sz w:val="17"/>
          <w:szCs w:val="17"/>
          <w:color w:val="auto"/>
        </w:rPr>
        <w:t>Dated: April 30, 2026</w:t>
      </w:r>
      <w:r>
        <w:rPr>
          <w:sz w:val="20"/>
          <w:szCs w:val="20"/>
          <w:color w:val="auto"/>
        </w:rPr>
        <w:tab/>
      </w:r>
      <w:r>
        <w:rPr>
          <w:rFonts w:ascii="Times New Roman" w:cs="Times New Roman" w:eastAsia="Times New Roman" w:hAnsi="Times New Roman"/>
          <w:sz w:val="17"/>
          <w:szCs w:val="17"/>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35560</wp:posOffset>
            </wp:positionV>
            <wp:extent cx="426910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69105" cy="8890"/>
                    </a:xfrm>
                    <a:prstGeom prst="rect">
                      <a:avLst/>
                    </a:prstGeom>
                    <a:noFill/>
                  </pic:spPr>
                </pic:pic>
              </a:graphicData>
            </a:graphic>
          </wp:anchor>
        </w:drawing>
      </w:r>
    </w:p>
    <w:p>
      <w:pPr>
        <w:spacing w:after="0" w:line="5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Githesh Ramamurthy</w:t>
      </w:r>
    </w:p>
    <w:p>
      <w:pPr>
        <w:spacing w:after="0" w:line="5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Herb, certify that:</w:t>
      </w:r>
    </w:p>
    <w:p>
      <w:pPr>
        <w:spacing w:after="0" w:line="223"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CCC Intelligent Solutions Holdings Inc.;</w:t>
      </w:r>
    </w:p>
    <w:p>
      <w:pPr>
        <w:spacing w:after="0" w:line="211" w:lineRule="exact"/>
        <w:rPr>
          <w:rFonts w:ascii="Times New Roman" w:cs="Times New Roman" w:eastAsia="Times New Roman" w:hAnsi="Times New Roman"/>
          <w:sz w:val="18"/>
          <w:szCs w:val="18"/>
          <w:color w:val="auto"/>
        </w:rPr>
      </w:pPr>
    </w:p>
    <w:p>
      <w:pPr>
        <w:ind w:left="380" w:right="160" w:hanging="372"/>
        <w:spacing w:after="0" w:line="267"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Times New Roman" w:cs="Times New Roman" w:eastAsia="Times New Roman" w:hAnsi="Times New Roman"/>
          <w:sz w:val="18"/>
          <w:szCs w:val="18"/>
          <w:color w:val="auto"/>
        </w:rPr>
      </w:pPr>
    </w:p>
    <w:p>
      <w:pPr>
        <w:ind w:left="380" w:right="240" w:hanging="372"/>
        <w:spacing w:after="0" w:line="267"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8"/>
          <w:szCs w:val="18"/>
          <w:color w:val="auto"/>
        </w:rPr>
      </w:pPr>
    </w:p>
    <w:p>
      <w:pPr>
        <w:jc w:val="both"/>
        <w:ind w:left="380" w:right="60" w:hanging="372"/>
        <w:spacing w:after="0" w:line="257"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760" w:right="300" w:hanging="3"/>
        <w:spacing w:after="0" w:line="265" w:lineRule="auto"/>
        <w:tabs>
          <w:tab w:leader="none" w:pos="1102"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100" w:hanging="343"/>
        <w:spacing w:after="0"/>
        <w:tabs>
          <w:tab w:leader="none" w:pos="110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52525"/>
        </w:rPr>
        <w:t>Designed such internal control over financial reporting, or caused such internal control over financial reporting to be designed under our</w:t>
      </w:r>
    </w:p>
    <w:p>
      <w:pPr>
        <w:spacing w:after="0" w:line="25" w:lineRule="exact"/>
        <w:rPr>
          <w:rFonts w:ascii="Times New Roman" w:cs="Times New Roman" w:eastAsia="Times New Roman" w:hAnsi="Times New Roman"/>
          <w:sz w:val="17"/>
          <w:szCs w:val="17"/>
          <w:color w:val="auto"/>
        </w:rPr>
      </w:pPr>
    </w:p>
    <w:p>
      <w:pPr>
        <w:ind w:left="760" w:right="5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52525"/>
        </w:rPr>
        <w:t>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left="760" w:right="920" w:hanging="3"/>
        <w:spacing w:after="0" w:line="281" w:lineRule="auto"/>
        <w:tabs>
          <w:tab w:leader="none" w:pos="1102"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Times New Roman" w:cs="Times New Roman" w:eastAsia="Times New Roman" w:hAnsi="Times New Roman"/>
          <w:sz w:val="17"/>
          <w:szCs w:val="17"/>
          <w:color w:val="auto"/>
        </w:rPr>
      </w:pPr>
    </w:p>
    <w:p>
      <w:pPr>
        <w:ind w:left="760" w:right="20" w:hanging="3"/>
        <w:spacing w:after="0" w:line="281" w:lineRule="auto"/>
        <w:tabs>
          <w:tab w:leader="none" w:pos="1102"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380" w:right="800" w:hanging="372"/>
        <w:spacing w:after="0" w:line="267"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8"/>
          <w:szCs w:val="18"/>
          <w:color w:val="auto"/>
        </w:rPr>
      </w:pPr>
    </w:p>
    <w:p>
      <w:pPr>
        <w:ind w:left="760" w:right="360" w:hanging="3"/>
        <w:spacing w:after="0" w:line="281" w:lineRule="auto"/>
        <w:tabs>
          <w:tab w:leader="none" w:pos="1102"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Times New Roman" w:cs="Times New Roman" w:eastAsia="Times New Roman" w:hAnsi="Times New Roman"/>
          <w:sz w:val="17"/>
          <w:szCs w:val="17"/>
          <w:color w:val="auto"/>
        </w:rPr>
      </w:pPr>
    </w:p>
    <w:p>
      <w:pPr>
        <w:ind w:left="760" w:right="300" w:hanging="3"/>
        <w:spacing w:after="0" w:line="281" w:lineRule="auto"/>
        <w:tabs>
          <w:tab w:leader="none" w:pos="1102"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ind w:left="200"/>
        <w:spacing w:after="0"/>
        <w:tabs>
          <w:tab w:leader="none" w:pos="4420" w:val="left"/>
        </w:tabs>
        <w:rPr>
          <w:sz w:val="20"/>
          <w:szCs w:val="20"/>
          <w:color w:val="auto"/>
        </w:rPr>
      </w:pPr>
      <w:r>
        <w:rPr>
          <w:rFonts w:ascii="Times New Roman" w:cs="Times New Roman" w:eastAsia="Times New Roman" w:hAnsi="Times New Roman"/>
          <w:sz w:val="17"/>
          <w:szCs w:val="17"/>
          <w:color w:val="auto"/>
        </w:rPr>
        <w:t>Dated: April 30, 2026</w:t>
      </w:r>
      <w:r>
        <w:rPr>
          <w:sz w:val="20"/>
          <w:szCs w:val="20"/>
          <w:color w:val="auto"/>
        </w:rPr>
        <w:tab/>
      </w:r>
      <w:r>
        <w:rPr>
          <w:rFonts w:ascii="Times New Roman" w:cs="Times New Roman" w:eastAsia="Times New Roman" w:hAnsi="Times New Roman"/>
          <w:sz w:val="16"/>
          <w:szCs w:val="16"/>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35560</wp:posOffset>
            </wp:positionV>
            <wp:extent cx="42691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color w:val="auto"/>
        </w:rPr>
        <w:t>Brian Herb</w:t>
      </w:r>
    </w:p>
    <w:p>
      <w:pPr>
        <w:spacing w:after="0" w:line="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34"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CCC Intelligent Solutions Holdings Inc. (the “Company”) for the period ended March 31, 2026, as filed with the U.S. Securities and Exchange Commission (the “Report”), I, Githesh Ramamurthy, Chief Executive Officer and Chairman of the Board of Directors of the Company, hereby certify, pursuant to 18 U.S.C. Section 1350, as adopted pursuant to Section 906 of the Sarbanes-Oxley Act of 2002, that, to my knowledge:</w:t>
      </w:r>
    </w:p>
    <w:p>
      <w:pPr>
        <w:spacing w:after="0" w:line="207"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tabs>
          <w:tab w:leader="none" w:pos="4740" w:val="left"/>
        </w:tabs>
        <w:rPr>
          <w:sz w:val="20"/>
          <w:szCs w:val="20"/>
          <w:color w:val="auto"/>
        </w:rPr>
      </w:pPr>
      <w:r>
        <w:rPr>
          <w:rFonts w:ascii="Times New Roman" w:cs="Times New Roman" w:eastAsia="Times New Roman" w:hAnsi="Times New Roman"/>
          <w:sz w:val="18"/>
          <w:szCs w:val="18"/>
          <w:color w:val="auto"/>
        </w:rPr>
        <w:t>Dated: April 30, 2026</w:t>
      </w:r>
      <w:r>
        <w:rPr>
          <w:sz w:val="20"/>
          <w:szCs w:val="20"/>
          <w:color w:val="auto"/>
        </w:rPr>
        <w:tab/>
      </w:r>
      <w:r>
        <w:rPr>
          <w:rFonts w:ascii="Times New Roman" w:cs="Times New Roman" w:eastAsia="Times New Roman" w:hAnsi="Times New Roman"/>
          <w:sz w:val="18"/>
          <w:szCs w:val="18"/>
          <w:color w:val="auto"/>
        </w:rPr>
        <w:t>/s/ Githesh Ramamurthy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34290</wp:posOffset>
            </wp:positionV>
            <wp:extent cx="40633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5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Githesh Ramamurthy</w:t>
      </w:r>
    </w:p>
    <w:p>
      <w:pPr>
        <w:spacing w:after="0" w:line="6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1051560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CCC Intelligent Solutions Holdings Inc. (the “Company”) for the period ended March 31, 2026, as filed with the U.S. Securities and Exchange Commission (the “Report”), I, Brian Herb, Executive Vice President, Chief Financial and Administrative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0"/>
        <w:spacing w:after="0"/>
        <w:tabs>
          <w:tab w:leader="none" w:pos="4420" w:val="left"/>
        </w:tabs>
        <w:rPr>
          <w:sz w:val="20"/>
          <w:szCs w:val="20"/>
          <w:color w:val="auto"/>
        </w:rPr>
      </w:pPr>
      <w:r>
        <w:rPr>
          <w:rFonts w:ascii="Times New Roman" w:cs="Times New Roman" w:eastAsia="Times New Roman" w:hAnsi="Times New Roman"/>
          <w:sz w:val="18"/>
          <w:szCs w:val="18"/>
          <w:color w:val="auto"/>
        </w:rPr>
        <w:t>Dated: April 30, 2026</w:t>
      </w:r>
      <w:r>
        <w:rPr>
          <w:sz w:val="20"/>
          <w:szCs w:val="20"/>
          <w:color w:val="auto"/>
        </w:rPr>
        <w:tab/>
      </w:r>
      <w:r>
        <w:rPr>
          <w:rFonts w:ascii="Times New Roman" w:cs="Times New Roman" w:eastAsia="Times New Roman" w:hAnsi="Times New Roman"/>
          <w:sz w:val="18"/>
          <w:szCs w:val="18"/>
          <w:color w:val="auto"/>
        </w:rPr>
        <w:t>/s/ Brian Herb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34290</wp:posOffset>
            </wp:positionV>
            <wp:extent cx="42691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5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Brian Herb</w:t>
      </w:r>
    </w:p>
    <w:p>
      <w:pPr>
        <w:spacing w:after="0" w:line="6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and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1051560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upperLetter"/>
      <w:start w:val="55"/>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upperLetter"/>
      <w:start w:val="55"/>
    </w:lvl>
  </w:abstractNum>
  <w:abstractNum w:abstractNumId="7">
    <w:nsid w:val="8EDBDAB"/>
    <w:multiLevelType w:val="hybridMultilevel"/>
    <w:lvl w:ilvl="0">
      <w:lvlJc w:val="left"/>
      <w:lvlText w:val="%1."/>
      <w:numFmt w:val="decimal"/>
      <w:start w:val="2"/>
    </w:lvl>
  </w:abstractNum>
  <w:abstractNum w:abstractNumId="8">
    <w:nsid w:val="79838CB2"/>
    <w:multiLevelType w:val="hybridMultilevel"/>
    <w:lvl w:ilvl="0">
      <w:lvlJc w:val="left"/>
      <w:lvlText w:val="%1."/>
      <w:numFmt w:val="decimal"/>
      <w:start w:val="3"/>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4"/>
    </w:lvl>
  </w:abstractNum>
  <w:abstractNum w:abstractNumId="12">
    <w:nsid w:val="54E49EB4"/>
    <w:multiLevelType w:val="hybridMultilevel"/>
    <w:lvl w:ilvl="0">
      <w:lvlJc w:val="left"/>
      <w:lvlText w:val="%1."/>
      <w:numFmt w:val="decimal"/>
      <w:start w:val="5"/>
    </w:lvl>
  </w:abstractNum>
  <w:abstractNum w:abstractNumId="13">
    <w:nsid w:val="71F32454"/>
    <w:multiLevelType w:val="hybridMultilevel"/>
    <w:lvl w:ilvl="0">
      <w:lvlJc w:val="left"/>
      <w:lvlText w:val="%1."/>
      <w:numFmt w:val="decimal"/>
      <w:start w:val="6"/>
    </w:lvl>
  </w:abstractNum>
  <w:abstractNum w:abstractNumId="14">
    <w:nsid w:val="2CA88611"/>
    <w:multiLevelType w:val="hybridMultilevel"/>
    <w:lvl w:ilvl="0">
      <w:lvlJc w:val="left"/>
      <w:lvlText w:val="%1."/>
      <w:numFmt w:val="decimal"/>
      <w:start w:val="7"/>
    </w:lvl>
  </w:abstractNum>
  <w:abstractNum w:abstractNumId="15">
    <w:nsid w:val="836C40E"/>
    <w:multiLevelType w:val="hybridMultilevel"/>
    <w:lvl w:ilvl="0">
      <w:lvlJc w:val="left"/>
      <w:lvlText w:val="%1."/>
      <w:numFmt w:val="decimal"/>
      <w:start w:val="8"/>
    </w:lvl>
  </w:abstractNum>
  <w:abstractNum w:abstractNumId="16">
    <w:nsid w:val="2901D82"/>
    <w:multiLevelType w:val="hybridMultilevel"/>
    <w:lvl w:ilvl="0">
      <w:lvlJc w:val="left"/>
      <w:lvlText w:val="%1."/>
      <w:numFmt w:val="decimal"/>
      <w:start w:val="9"/>
    </w:lvl>
  </w:abstractNum>
  <w:abstractNum w:abstractNumId="17">
    <w:nsid w:val="3A95F874"/>
    <w:multiLevelType w:val="hybridMultilevel"/>
    <w:lvl w:ilvl="0">
      <w:lvlJc w:val="left"/>
      <w:lvlText w:val="%1."/>
      <w:numFmt w:val="decimal"/>
      <w:start w:val="10"/>
    </w:lvl>
  </w:abstractNum>
  <w:abstractNum w:abstractNumId="18">
    <w:nsid w:val="8138641"/>
    <w:multiLevelType w:val="hybridMultilevel"/>
    <w:lvl w:ilvl="0">
      <w:lvlJc w:val="left"/>
      <w:lvlText w:val="%1."/>
      <w:numFmt w:val="decimal"/>
      <w:start w:val="11"/>
    </w:lvl>
  </w:abstractNum>
  <w:abstractNum w:abstractNumId="19">
    <w:nsid w:val="1E7FF521"/>
    <w:multiLevelType w:val="hybridMultilevel"/>
    <w:lvl w:ilvl="0">
      <w:lvlJc w:val="left"/>
      <w:lvlText w:val="%1."/>
      <w:numFmt w:val="decimal"/>
      <w:start w:val="12"/>
    </w:lvl>
  </w:abstractNum>
  <w:abstractNum w:abstractNumId="20">
    <w:nsid w:val="7C3DBD3D"/>
    <w:multiLevelType w:val="hybridMultilevel"/>
    <w:lvl w:ilvl="0">
      <w:lvlJc w:val="left"/>
      <w:lvlText w:val="%1."/>
      <w:numFmt w:val="decimal"/>
      <w:start w:val="13"/>
    </w:lvl>
  </w:abstractNum>
  <w:abstractNum w:abstractNumId="21">
    <w:nsid w:val="737B8DDC"/>
    <w:multiLevelType w:val="hybridMultilevel"/>
    <w:lvl w:ilvl="0">
      <w:lvlJc w:val="left"/>
      <w:lvlText w:val="%1."/>
      <w:numFmt w:val="decimal"/>
      <w:start w:val="14"/>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5"/>
    </w:lvl>
  </w:abstractNum>
  <w:abstractNum w:abstractNumId="24">
    <w:nsid w:val="4516DDE9"/>
    <w:multiLevelType w:val="hybridMultilevel"/>
    <w:lvl w:ilvl="0">
      <w:lvlJc w:val="left"/>
      <w:lvlText w:val="%1."/>
      <w:numFmt w:val="decimal"/>
      <w:start w:val="16"/>
    </w:lvl>
  </w:abstractNum>
  <w:abstractNum w:abstractNumId="25">
    <w:nsid w:val="3006C83E"/>
    <w:multiLevelType w:val="hybridMultilevel"/>
    <w:lvl w:ilvl="0">
      <w:lvlJc w:val="left"/>
      <w:lvlText w:val="%1."/>
      <w:numFmt w:val="decimal"/>
      <w:start w:val="18"/>
    </w:lvl>
  </w:abstractNum>
  <w:abstractNum w:abstractNumId="26">
    <w:nsid w:val="614FD4A1"/>
    <w:multiLevelType w:val="hybridMultilevel"/>
    <w:lvl w:ilvl="0">
      <w:lvlJc w:val="left"/>
      <w:lvlText w:val="%1."/>
      <w:numFmt w:val="decimal"/>
      <w:start w:val="19"/>
    </w:lvl>
  </w:abstractNum>
  <w:abstractNum w:abstractNumId="27">
    <w:nsid w:val="419AC241"/>
    <w:multiLevelType w:val="hybridMultilevel"/>
    <w:lvl w:ilvl="0">
      <w:lvlJc w:val="left"/>
      <w:lvlText w:val="%1."/>
      <w:numFmt w:val="decimal"/>
      <w:start w:val="21"/>
    </w:lvl>
  </w:abstractNum>
  <w:abstractNum w:abstractNumId="28">
    <w:nsid w:val="5577F8E1"/>
    <w:multiLevelType w:val="hybridMultilevel"/>
    <w:lvl w:ilvl="0">
      <w:lvlJc w:val="left"/>
      <w:lvlText w:val="%1."/>
      <w:numFmt w:val="decimal"/>
      <w:start w:val="22"/>
    </w:lvl>
  </w:abstractNum>
  <w:abstractNum w:abstractNumId="29">
    <w:nsid w:val="440BADFC"/>
    <w:multiLevelType w:val="hybridMultilevel"/>
    <w:lvl w:ilvl="0">
      <w:lvlJc w:val="left"/>
      <w:lvlText w:val="%1."/>
      <w:numFmt w:val="decimal"/>
      <w:start w:val="23"/>
    </w:lvl>
  </w:abstractNum>
  <w:abstractNum w:abstractNumId="30">
    <w:nsid w:val="5072367"/>
    <w:multiLevelType w:val="hybridMultilevel"/>
    <w:lvl w:ilvl="0">
      <w:lvlJc w:val="left"/>
      <w:lvlText w:val="%1."/>
      <w:numFmt w:val="decimal"/>
      <w:start w:val="24"/>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2"/>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Roman"/>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2026-04-30T07:22:53Z</dcterms:created>
  <dcterms:modified xsi:type="dcterms:W3CDTF">2026-04-30T07:22:53Z</dcterms:modified>
</cp:coreProperties>
</file>