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4867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867910"/>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GOODSON JOHN PAGE</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60"/>
        <w:spacing w:after="0" w:line="402" w:lineRule="auto"/>
        <w:rPr>
          <w:sz w:val="20"/>
          <w:szCs w:val="20"/>
          <w:color w:val="auto"/>
        </w:rPr>
      </w:pPr>
      <w:r>
        <w:rPr>
          <w:rFonts w:ascii="Arial" w:cs="Arial" w:eastAsia="Arial" w:hAnsi="Arial"/>
          <w:sz w:val="15"/>
          <w:szCs w:val="15"/>
          <w:color w:val="0000FF"/>
        </w:rPr>
        <w:t>C/O CCC INTELLIGENT SOLUTIONS HOLDINGS 167 N. GREEN STREET, 9TH FLOOR</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CHICAGO</w:t>
            </w:r>
          </w:p>
        </w:tc>
        <w:tc>
          <w:tcPr>
            <w:tcW w:w="1040" w:type="dxa"/>
            <w:vAlign w:val="bottom"/>
          </w:tcPr>
          <w:p>
            <w:pPr>
              <w:ind w:left="240"/>
              <w:spacing w:after="0"/>
              <w:rPr>
                <w:sz w:val="20"/>
                <w:szCs w:val="20"/>
                <w:color w:val="auto"/>
              </w:rPr>
            </w:pPr>
            <w:r>
              <w:rPr>
                <w:rFonts w:ascii="Arial" w:cs="Arial" w:eastAsia="Arial" w:hAnsi="Arial"/>
                <w:sz w:val="16"/>
                <w:szCs w:val="16"/>
                <w:color w:val="0000FF"/>
              </w:rPr>
              <w:t>IL</w:t>
            </w:r>
          </w:p>
        </w:tc>
        <w:tc>
          <w:tcPr>
            <w:tcW w:w="1620" w:type="dxa"/>
            <w:vAlign w:val="bottom"/>
          </w:tcPr>
          <w:p>
            <w:pPr>
              <w:ind w:left="420"/>
              <w:spacing w:after="0"/>
              <w:rPr>
                <w:sz w:val="20"/>
                <w:szCs w:val="20"/>
                <w:color w:val="auto"/>
              </w:rPr>
            </w:pPr>
            <w:r>
              <w:rPr>
                <w:rFonts w:ascii="Arial" w:cs="Arial" w:eastAsia="Arial" w:hAnsi="Arial"/>
                <w:sz w:val="16"/>
                <w:szCs w:val="16"/>
                <w:color w:val="0000FF"/>
              </w:rPr>
              <w:t>60607</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2"/>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CCC Intelligent Solutions Holdings Inc. </w:t>
              </w:r>
            </w:hyperlink>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Arial" w:cs="Arial" w:eastAsia="Arial" w:hAnsi="Arial"/>
                <w:sz w:val="16"/>
                <w:szCs w:val="16"/>
                <w:color w:val="0000FF"/>
              </w:rPr>
              <w:t xml:space="preserve">CCCS </w:t>
            </w:r>
            <w:r>
              <w:rPr>
                <w:rFonts w:ascii="Arial" w:cs="Arial" w:eastAsia="Arial" w:hAnsi="Arial"/>
                <w:sz w:val="20"/>
                <w:szCs w:val="20"/>
                <w:color w:val="000000"/>
              </w:rPr>
              <w:t>]</w:t>
            </w: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40" w:type="dxa"/>
            <w:vAlign w:val="bottom"/>
            <w:vMerge w:val="restart"/>
          </w:tcPr>
          <w:p>
            <w:pPr>
              <w:ind w:left="100"/>
              <w:spacing w:after="0" w:line="140"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00" w:type="dxa"/>
            <w:vAlign w:val="bottom"/>
            <w:gridSpan w:val="2"/>
          </w:tcPr>
          <w:p>
            <w:pPr>
              <w:ind w:left="320"/>
              <w:spacing w:after="0" w:line="181" w:lineRule="exact"/>
              <w:rPr>
                <w:sz w:val="20"/>
                <w:szCs w:val="20"/>
                <w:color w:val="auto"/>
              </w:rPr>
            </w:pPr>
            <w:r>
              <w:rPr>
                <w:rFonts w:ascii="Arial" w:cs="Arial" w:eastAsia="Arial" w:hAnsi="Arial"/>
                <w:sz w:val="16"/>
                <w:szCs w:val="16"/>
                <w:color w:val="0000FF"/>
              </w:rPr>
              <w:t>Chief Technology Officer</w:t>
            </w:r>
          </w:p>
        </w:tc>
        <w:tc>
          <w:tcPr>
            <w:tcW w:w="0" w:type="dxa"/>
            <w:vAlign w:val="bottom"/>
          </w:tcPr>
          <w:p>
            <w:pPr>
              <w:spacing w:after="0"/>
              <w:rPr>
                <w:sz w:val="1"/>
                <w:szCs w:val="1"/>
                <w:color w:val="auto"/>
              </w:rPr>
            </w:pPr>
          </w:p>
        </w:tc>
      </w:tr>
      <w:tr>
        <w:trPr>
          <w:trHeight w:val="208"/>
        </w:trPr>
        <w:tc>
          <w:tcPr>
            <w:tcW w:w="3320" w:type="dxa"/>
            <w:vAlign w:val="bottom"/>
            <w:gridSpan w:val="2"/>
          </w:tcPr>
          <w:p>
            <w:pPr>
              <w:ind w:left="60"/>
              <w:spacing w:after="0"/>
              <w:rPr>
                <w:sz w:val="20"/>
                <w:szCs w:val="20"/>
                <w:color w:val="auto"/>
              </w:rPr>
            </w:pPr>
            <w:r>
              <w:rPr>
                <w:rFonts w:ascii="Arial" w:cs="Arial" w:eastAsia="Arial" w:hAnsi="Arial"/>
                <w:sz w:val="16"/>
                <w:szCs w:val="16"/>
                <w:color w:val="0000FF"/>
              </w:rPr>
              <w:t>03/23/2022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03/23/2022</w:t>
            </w:r>
          </w:p>
        </w:tc>
        <w:tc>
          <w:tcPr>
            <w:tcW w:w="106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41,351</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600" w:type="dxa"/>
            <w:vAlign w:val="bottom"/>
          </w:tcPr>
          <w:p>
            <w:pPr>
              <w:ind w:left="60"/>
              <w:spacing w:after="0" w:line="139" w:lineRule="exact"/>
              <w:rPr>
                <w:sz w:val="20"/>
                <w:szCs w:val="20"/>
                <w:color w:val="auto"/>
              </w:rPr>
            </w:pPr>
            <w:r>
              <w:rPr>
                <w:rFonts w:ascii="Arial" w:cs="Arial" w:eastAsia="Arial" w:hAnsi="Arial"/>
                <w:sz w:val="13"/>
                <w:szCs w:val="13"/>
                <w:color w:val="0000FF"/>
                <w:w w:val="98"/>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41,351</w:t>
            </w:r>
            <w:r>
              <w:rPr>
                <w:rFonts w:ascii="Arial" w:cs="Arial" w:eastAsia="Arial" w:hAnsi="Arial"/>
                <w:sz w:val="21"/>
                <w:szCs w:val="21"/>
                <w:color w:val="008000"/>
                <w:w w:val="93"/>
                <w:vertAlign w:val="superscript"/>
              </w:rPr>
              <w:t>(1)</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300"/>
              <w:spacing w:after="0"/>
              <w:rPr>
                <w:sz w:val="20"/>
                <w:szCs w:val="20"/>
                <w:color w:val="auto"/>
              </w:rPr>
            </w:pPr>
            <w:r>
              <w:rPr>
                <w:rFonts w:ascii="Arial" w:cs="Arial" w:eastAsia="Arial" w:hAnsi="Arial"/>
                <w:sz w:val="13"/>
                <w:szCs w:val="13"/>
                <w:color w:val="0000FF"/>
              </w:rPr>
              <w:t>41,351</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tcPr>
          <w:p>
            <w:pPr>
              <w:ind w:left="60"/>
              <w:spacing w:after="0" w:line="136"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780" w:type="dxa"/>
            <w:vAlign w:val="bottom"/>
            <w:tcBorders>
              <w:bottom w:val="single" w:sz="8" w:color="2C2C2C"/>
            </w:tcBorders>
          </w:tcPr>
          <w:p>
            <w:pPr>
              <w:ind w:left="60"/>
              <w:spacing w:after="0" w:line="228" w:lineRule="exact"/>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8"/>
              </w:rPr>
              <w:t>Common</w:t>
            </w:r>
          </w:p>
        </w:tc>
        <w:tc>
          <w:tcPr>
            <w:tcW w:w="720" w:type="dxa"/>
            <w:vAlign w:val="bottom"/>
            <w:vMerge w:val="restart"/>
          </w:tcPr>
          <w:p>
            <w:pPr>
              <w:jc w:val="right"/>
              <w:ind w:right="73"/>
              <w:spacing w:after="0"/>
              <w:rPr>
                <w:sz w:val="20"/>
                <w:szCs w:val="20"/>
                <w:color w:val="auto"/>
              </w:rPr>
            </w:pPr>
            <w:r>
              <w:rPr>
                <w:rFonts w:ascii="Arial" w:cs="Arial" w:eastAsia="Arial" w:hAnsi="Arial"/>
                <w:sz w:val="16"/>
                <w:szCs w:val="16"/>
                <w:color w:val="0000FF"/>
              </w:rPr>
              <w:t>82,704</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3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vMerge w:val="restart"/>
          </w:tcPr>
          <w:p>
            <w:pPr>
              <w:jc w:val="right"/>
              <w:ind w:right="181"/>
              <w:spacing w:after="0" w:line="136" w:lineRule="exact"/>
              <w:rPr>
                <w:sz w:val="20"/>
                <w:szCs w:val="20"/>
                <w:color w:val="auto"/>
              </w:rPr>
            </w:pPr>
            <w:r>
              <w:rPr>
                <w:rFonts w:ascii="Arial" w:cs="Arial" w:eastAsia="Arial" w:hAnsi="Arial"/>
                <w:sz w:val="13"/>
                <w:szCs w:val="13"/>
                <w:color w:val="0000FF"/>
              </w:rPr>
              <w:t>03/23/2022</w:t>
            </w:r>
          </w:p>
        </w:tc>
        <w:tc>
          <w:tcPr>
            <w:tcW w:w="1060" w:type="dxa"/>
            <w:vAlign w:val="bottom"/>
          </w:tcPr>
          <w:p>
            <w:pPr>
              <w:spacing w:after="0"/>
              <w:rPr>
                <w:sz w:val="6"/>
                <w:szCs w:val="6"/>
                <w:color w:val="auto"/>
              </w:rPr>
            </w:pPr>
          </w:p>
        </w:tc>
        <w:tc>
          <w:tcPr>
            <w:tcW w:w="780" w:type="dxa"/>
            <w:vAlign w:val="bottom"/>
            <w:vMerge w:val="restart"/>
          </w:tcPr>
          <w:p>
            <w:pPr>
              <w:ind w:left="160"/>
              <w:spacing w:after="0" w:line="136"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line="136" w:lineRule="exact"/>
              <w:rPr>
                <w:sz w:val="20"/>
                <w:szCs w:val="20"/>
                <w:color w:val="auto"/>
              </w:rPr>
            </w:pPr>
            <w:r>
              <w:rPr>
                <w:rFonts w:ascii="Arial" w:cs="Arial" w:eastAsia="Arial" w:hAnsi="Arial"/>
                <w:sz w:val="13"/>
                <w:szCs w:val="13"/>
                <w:color w:val="0000FF"/>
              </w:rPr>
              <w:t>82,704</w:t>
            </w:r>
          </w:p>
        </w:tc>
        <w:tc>
          <w:tcPr>
            <w:tcW w:w="28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restart"/>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300"/>
              <w:spacing w:after="0" w:line="136" w:lineRule="exact"/>
              <w:rPr>
                <w:sz w:val="20"/>
                <w:szCs w:val="20"/>
                <w:color w:val="auto"/>
              </w:rPr>
            </w:pPr>
            <w:r>
              <w:rPr>
                <w:rFonts w:ascii="Arial" w:cs="Arial" w:eastAsia="Arial" w:hAnsi="Arial"/>
                <w:sz w:val="13"/>
                <w:szCs w:val="13"/>
                <w:color w:val="0000FF"/>
              </w:rPr>
              <w:t>82,704</w:t>
            </w:r>
          </w:p>
        </w:tc>
        <w:tc>
          <w:tcPr>
            <w:tcW w:w="720" w:type="dxa"/>
            <w:vAlign w:val="bottom"/>
            <w:vMerge w:val="restart"/>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(2)</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40" w:hanging="1"/>
        <w:spacing w:after="0" w:line="285" w:lineRule="auto"/>
        <w:tabs>
          <w:tab w:leader="none" w:pos="16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was granted Performance Restricted Stock Units ("PSUs") which represent a contingent right to receive, at the Issuer's discretion, (i) a distribution of a number of shares of the Issuer's Common Stock equal to 0% to 200% (or such greater percentage as is determined by the Board of Directors of the Issuer) of the PSUs, (ii) an amount of cash equal to the fair market value of such number of shares of the Issuer's Common Stock on the date immediately preceding the date of settlement of the PSUs, or (iii) a combination thereof, in all cases based on the total shareholder return realized by the Issuer's stockholders over the period January 1, 2022 through December 31, 2024 and generally subject to the Reporting Person's continued service to the Issuer through the Issuer's certification of the performance results.</w:t>
      </w:r>
    </w:p>
    <w:p>
      <w:pPr>
        <w:spacing w:after="0" w:line="6" w:lineRule="exact"/>
        <w:rPr>
          <w:rFonts w:ascii="Arial" w:cs="Arial" w:eastAsia="Arial" w:hAnsi="Arial"/>
          <w:sz w:val="11"/>
          <w:szCs w:val="11"/>
          <w:color w:val="008000"/>
        </w:rPr>
      </w:pPr>
    </w:p>
    <w:p>
      <w:pPr>
        <w:ind w:left="40" w:right="280" w:hanging="1"/>
        <w:spacing w:after="0" w:line="261"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Twenty-five (25%) of the RSUs vest upon each of the first four anniversaries of the Grant Date, generally subject to the Reporting Person's continued service to the Issuer through each such vesting and settlement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Kevin Kane as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03/25/2022</w:t>
            </w:r>
          </w:p>
        </w:tc>
        <w:tc>
          <w:tcPr>
            <w:tcW w:w="0" w:type="dxa"/>
            <w:vAlign w:val="bottom"/>
          </w:tcPr>
          <w:p>
            <w:pPr>
              <w:spacing w:after="0"/>
              <w:rPr>
                <w:sz w:val="1"/>
                <w:szCs w:val="1"/>
                <w:color w:val="auto"/>
              </w:rPr>
            </w:pPr>
          </w:p>
        </w:tc>
      </w:tr>
      <w:tr>
        <w:trPr>
          <w:trHeight w:val="81"/>
        </w:trPr>
        <w:tc>
          <w:tcPr>
            <w:tcW w:w="1860" w:type="dxa"/>
            <w:vAlign w:val="bottom"/>
            <w:vMerge w:val="restart"/>
          </w:tcPr>
          <w:p>
            <w:pPr>
              <w:spacing w:after="0" w:line="182" w:lineRule="exact"/>
              <w:rPr>
                <w:sz w:val="20"/>
                <w:szCs w:val="20"/>
                <w:color w:val="auto"/>
              </w:rPr>
            </w:pPr>
            <w:r>
              <w:rPr>
                <w:rFonts w:ascii="Arial" w:cs="Arial" w:eastAsia="Arial" w:hAnsi="Arial"/>
                <w:sz w:val="16"/>
                <w:szCs w:val="16"/>
                <w:color w:val="0000FF"/>
                <w:w w:val="89"/>
              </w:rPr>
              <w:t>Fact for John Page Goodson</w:t>
            </w:r>
          </w:p>
        </w:tc>
        <w:tc>
          <w:tcPr>
            <w:tcW w:w="2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6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872" TargetMode="External"/><Relationship Id="rId13"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2022-03-25T15:20:04Z</dcterms:created>
  <dcterms:modified xsi:type="dcterms:W3CDTF">2022-03-25T15:20:04Z</dcterms:modified>
</cp:coreProperties>
</file>