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50050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5005070"/>
                    </a:xfrm>
                    <a:prstGeom prst="rect">
                      <a:avLst/>
                    </a:prstGeom>
                    <a:noFill/>
                  </pic:spPr>
                </pic:pic>
              </a:graphicData>
            </a:graphic>
          </wp:anchor>
        </w:drawing>
      </w:r>
    </w:p>
    <w:p>
      <w:pPr>
        <w:spacing w:after="0" w:line="1203"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p>
      <w:pPr>
        <w:spacing w:after="0" w:line="1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Eilam Barak</w:t>
        </w:r>
      </w:hyperlink>
    </w:p>
    <w:p>
      <w:pPr>
        <w:spacing w:after="0" w:line="29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line="371" w:lineRule="auto"/>
        <w:rPr>
          <w:sz w:val="20"/>
          <w:szCs w:val="20"/>
          <w:color w:val="auto"/>
        </w:rPr>
      </w:pPr>
      <w:r>
        <w:rPr>
          <w:rFonts w:ascii="Times New Roman" w:cs="Times New Roman" w:eastAsia="Times New Roman" w:hAnsi="Times New Roman"/>
          <w:sz w:val="16"/>
          <w:szCs w:val="16"/>
          <w:color w:val="0000FF"/>
        </w:rPr>
        <w:t>C/O CCC INTELLIGENT SOLUTIONS HOLDINGS 167 N. GREEN STREET, 9TH FLOOR</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8"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CHICAGO</w:t>
      </w:r>
      <w:r>
        <w:rPr>
          <w:sz w:val="20"/>
          <w:szCs w:val="20"/>
          <w:color w:val="auto"/>
        </w:rPr>
        <w:tab/>
      </w:r>
      <w:r>
        <w:rPr>
          <w:rFonts w:ascii="Times New Roman" w:cs="Times New Roman" w:eastAsia="Times New Roman" w:hAnsi="Times New Roman"/>
          <w:sz w:val="16"/>
          <w:szCs w:val="16"/>
          <w:color w:val="0000FF"/>
        </w:rPr>
        <w:t>IL</w:t>
      </w:r>
      <w:r>
        <w:rPr>
          <w:sz w:val="20"/>
          <w:szCs w:val="20"/>
          <w:color w:val="auto"/>
        </w:rPr>
        <w:tab/>
      </w:r>
      <w:r>
        <w:rPr>
          <w:rFonts w:ascii="Times New Roman" w:cs="Times New Roman" w:eastAsia="Times New Roman" w:hAnsi="Times New Roman"/>
          <w:sz w:val="16"/>
          <w:szCs w:val="16"/>
          <w:color w:val="0000FF"/>
        </w:rPr>
        <w:t>60607</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4"/>
          </w:tcPr>
          <w:p>
            <w:pPr>
              <w:ind w:left="80"/>
              <w:spacing w:after="0" w:line="139"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CCC Intelligent Solutions Holdings Inc. </w:t>
              </w:r>
            </w:hyperlink>
            <w:r>
              <w:rPr>
                <w:rFonts w:ascii="Times New Roman" w:cs="Times New Roman" w:eastAsia="Times New Roman" w:hAnsi="Times New Roman"/>
                <w:sz w:val="16"/>
                <w:szCs w:val="16"/>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140" w:type="dxa"/>
            <w:vAlign w:val="bottom"/>
            <w:tcBorders>
              <w:bottom w:val="single" w:sz="8" w:color="0000EE"/>
            </w:tcBorders>
          </w:tcPr>
          <w:p>
            <w:pPr>
              <w:spacing w:after="0"/>
              <w:rPr>
                <w:sz w:val="3"/>
                <w:szCs w:val="3"/>
                <w:color w:val="auto"/>
              </w:rPr>
            </w:pPr>
          </w:p>
        </w:tc>
        <w:tc>
          <w:tcPr>
            <w:tcW w:w="500" w:type="dxa"/>
            <w:vAlign w:val="bottom"/>
          </w:tcPr>
          <w:p>
            <w:pPr>
              <w:spacing w:after="0"/>
              <w:rPr>
                <w:sz w:val="3"/>
                <w:szCs w:val="3"/>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7"/>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6"/>
                <w:szCs w:val="16"/>
                <w:color w:val="0000FF"/>
              </w:rPr>
              <w:t xml:space="preserve">CCC </w:t>
            </w:r>
            <w:r>
              <w:rPr>
                <w:rFonts w:ascii="Times New Roman" w:cs="Times New Roman" w:eastAsia="Times New Roman" w:hAnsi="Times New Roman"/>
                <w:sz w:val="20"/>
                <w:szCs w:val="20"/>
                <w:color w:val="000000"/>
              </w:rPr>
              <w:t>]</w:t>
            </w:r>
          </w:p>
        </w:tc>
        <w:tc>
          <w:tcPr>
            <w:tcW w:w="182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3840" w:type="dxa"/>
            <w:vAlign w:val="bottom"/>
            <w:gridSpan w:val="4"/>
            <w:vMerge w:val="continue"/>
          </w:tcPr>
          <w:p>
            <w:pPr>
              <w:spacing w:after="0"/>
              <w:rPr>
                <w:sz w:val="9"/>
                <w:szCs w:val="9"/>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1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820" w:type="dxa"/>
            <w:vAlign w:val="bottom"/>
          </w:tcPr>
          <w:p>
            <w:pPr>
              <w:ind w:left="580"/>
              <w:spacing w:after="0" w:line="107" w:lineRule="exact"/>
              <w:rPr>
                <w:sz w:val="20"/>
                <w:szCs w:val="20"/>
                <w:color w:val="auto"/>
              </w:rPr>
            </w:pPr>
            <w:r>
              <w:rPr>
                <w:rFonts w:ascii="Arial" w:cs="Arial" w:eastAsia="Arial" w:hAnsi="Arial"/>
                <w:sz w:val="12"/>
                <w:szCs w:val="12"/>
                <w:color w:val="auto"/>
              </w:rPr>
              <w:t>below)</w:t>
            </w:r>
          </w:p>
        </w:tc>
        <w:tc>
          <w:tcPr>
            <w:tcW w:w="1460" w:type="dxa"/>
            <w:vAlign w:val="bottom"/>
          </w:tcPr>
          <w:p>
            <w:pPr>
              <w:ind w:left="340"/>
              <w:spacing w:after="0" w:line="107"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7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340" w:type="dxa"/>
            <w:vAlign w:val="bottom"/>
            <w:gridSpan w:val="3"/>
          </w:tcPr>
          <w:p>
            <w:pPr>
              <w:ind w:left="80"/>
              <w:spacing w:after="0"/>
              <w:rPr>
                <w:sz w:val="20"/>
                <w:szCs w:val="20"/>
                <w:color w:val="auto"/>
              </w:rPr>
            </w:pPr>
            <w:r>
              <w:rPr>
                <w:rFonts w:ascii="Times New Roman" w:cs="Times New Roman" w:eastAsia="Times New Roman" w:hAnsi="Times New Roman"/>
                <w:sz w:val="16"/>
                <w:szCs w:val="16"/>
                <w:color w:val="0000FF"/>
              </w:rPr>
              <w:t>05/21/2026</w:t>
            </w:r>
          </w:p>
        </w:tc>
        <w:tc>
          <w:tcPr>
            <w:tcW w:w="5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1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3280" w:type="dxa"/>
            <w:vAlign w:val="bottom"/>
            <w:tcBorders>
              <w:bottom w:val="single" w:sz="8" w:color="2C2C2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20" w:space="1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40" w:type="dxa"/>
            <w:vAlign w:val="bottom"/>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05/21/2026</w:t>
            </w:r>
          </w:p>
        </w:tc>
        <w:tc>
          <w:tcPr>
            <w:tcW w:w="5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22,013</w:t>
            </w:r>
          </w:p>
        </w:tc>
        <w:tc>
          <w:tcPr>
            <w:tcW w:w="64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40" w:type="dxa"/>
            <w:vAlign w:val="bottom"/>
          </w:tcPr>
          <w:p>
            <w:pPr>
              <w:spacing w:after="0"/>
              <w:rPr>
                <w:sz w:val="22"/>
                <w:szCs w:val="22"/>
                <w:color w:val="auto"/>
              </w:rPr>
            </w:pPr>
          </w:p>
        </w:tc>
        <w:tc>
          <w:tcPr>
            <w:tcW w:w="126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22,013</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22,013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22,013</w:t>
            </w: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(1)</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55,067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05/21/2026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1"/>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55,067</w:t>
            </w:r>
          </w:p>
        </w:tc>
        <w:tc>
          <w:tcPr>
            <w:tcW w:w="500" w:type="dxa"/>
            <w:vAlign w:val="bottom"/>
          </w:tcPr>
          <w:p>
            <w:pPr>
              <w:spacing w:after="0"/>
              <w:rPr>
                <w:sz w:val="12"/>
                <w:szCs w:val="12"/>
                <w:color w:val="auto"/>
              </w:rPr>
            </w:pPr>
          </w:p>
        </w:tc>
        <w:tc>
          <w:tcPr>
            <w:tcW w:w="780" w:type="dxa"/>
            <w:vAlign w:val="bottom"/>
            <w:gridSpan w:val="2"/>
          </w:tcPr>
          <w:p>
            <w:pPr>
              <w:jc w:val="right"/>
              <w:ind w:right="301"/>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center"/>
              <w:ind w:right="1"/>
              <w:spacing w:after="0"/>
              <w:rPr>
                <w:sz w:val="20"/>
                <w:szCs w:val="20"/>
                <w:color w:val="auto"/>
              </w:rPr>
            </w:pPr>
            <w:r>
              <w:rPr>
                <w:rFonts w:ascii="Times New Roman" w:cs="Times New Roman" w:eastAsia="Times New Roman" w:hAnsi="Times New Roman"/>
                <w:sz w:val="11"/>
                <w:szCs w:val="11"/>
                <w:color w:val="008000"/>
                <w:w w:val="93"/>
              </w:rPr>
              <w:t>(2)</w:t>
            </w:r>
          </w:p>
        </w:tc>
        <w:tc>
          <w:tcPr>
            <w:tcW w:w="64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203"/>
              <w:spacing w:after="0" w:line="140" w:lineRule="exact"/>
              <w:rPr>
                <w:sz w:val="20"/>
                <w:szCs w:val="20"/>
                <w:color w:val="auto"/>
              </w:rPr>
            </w:pPr>
            <w:r>
              <w:rPr>
                <w:rFonts w:ascii="Times New Roman" w:cs="Times New Roman" w:eastAsia="Times New Roman" w:hAnsi="Times New Roman"/>
                <w:sz w:val="13"/>
                <w:szCs w:val="13"/>
                <w:color w:val="0000FF"/>
              </w:rPr>
              <w:t>55,067</w:t>
            </w:r>
          </w:p>
        </w:tc>
        <w:tc>
          <w:tcPr>
            <w:tcW w:w="640" w:type="dxa"/>
            <w:vAlign w:val="bottom"/>
          </w:tcPr>
          <w:p>
            <w:pPr>
              <w:ind w:left="34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vMerge w:val="restart"/>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w:t>
            </w:r>
            <w:r>
              <w:rPr>
                <w:rFonts w:ascii="Times New Roman" w:cs="Times New Roman" w:eastAsia="Times New Roman" w:hAnsi="Times New Roman"/>
                <w:sz w:val="21"/>
                <w:szCs w:val="21"/>
                <w:color w:val="008000"/>
                <w:vertAlign w:val="superscript"/>
              </w:rPr>
              <w:t>(2)</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vMerge w:val="continue"/>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-2195830</wp:posOffset>
            </wp:positionV>
            <wp:extent cx="28575" cy="2200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20091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24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July 11, 2026 and the date of the next annual meeting of the stockholders of the Issuer, generally subject to the Reporting Person's continued service to the Issuer through such vesting and settlement date.</w:t>
      </w:r>
    </w:p>
    <w:p>
      <w:pPr>
        <w:spacing w:after="0" w:line="26" w:lineRule="exact"/>
        <w:rPr>
          <w:rFonts w:ascii="Times New Roman" w:cs="Times New Roman" w:eastAsia="Times New Roman" w:hAnsi="Times New Roman"/>
          <w:sz w:val="13"/>
          <w:szCs w:val="13"/>
          <w:color w:val="008000"/>
        </w:rPr>
      </w:pPr>
    </w:p>
    <w:p>
      <w:pPr>
        <w:ind w:left="40" w:right="220"/>
        <w:spacing w:after="0" w:line="237"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at the Issuer's discretion, (i) one share of Common Stock for each RSU, (ii) an amount of cash equal to the fair market value of such share of Common Stock on the date immediately preceding the date of settlement of the RSU, or (iii) a combination thereof. The RSUs vest on the earlier of May 21, 2027 and the date of the next annual meeting of the stockholders of the Issuer, generally subject to the Reporting Person's continued service to the Issuer through such vesting and settlement date.</w:t>
      </w:r>
    </w:p>
    <w:p>
      <w:pPr>
        <w:spacing w:after="0" w:line="26" w:lineRule="exact"/>
        <w:rPr>
          <w:sz w:val="24"/>
          <w:szCs w:val="24"/>
          <w:color w:val="auto"/>
        </w:rPr>
      </w:pPr>
    </w:p>
    <w:tbl>
      <w:tblPr>
        <w:tblLayout w:type="fixed"/>
        <w:tblInd w:w="6600" w:type="dxa"/>
        <w:tblCellMar>
          <w:top w:w="0" w:type="dxa"/>
          <w:left w:w="0" w:type="dxa"/>
          <w:bottom w:w="0" w:type="dxa"/>
          <w:right w:w="0" w:type="dxa"/>
        </w:tblCellMar>
      </w:tblPr>
      <w:tr>
        <w:trPr>
          <w:trHeight w:val="204"/>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0000FF"/>
              </w:rPr>
              <w:t>/s/ Charles C. Vos, attorney-in-</w:t>
            </w:r>
          </w:p>
        </w:tc>
        <w:tc>
          <w:tcPr>
            <w:tcW w:w="160" w:type="dxa"/>
            <w:vAlign w:val="bottom"/>
          </w:tcPr>
          <w:p>
            <w:pPr>
              <w:spacing w:after="0"/>
              <w:rPr>
                <w:sz w:val="17"/>
                <w:szCs w:val="17"/>
                <w:color w:val="auto"/>
              </w:rPr>
            </w:pP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05/26/2026</w:t>
            </w:r>
          </w:p>
        </w:tc>
        <w:tc>
          <w:tcPr>
            <w:tcW w:w="0" w:type="dxa"/>
            <w:vAlign w:val="bottom"/>
          </w:tcPr>
          <w:p>
            <w:pPr>
              <w:spacing w:after="0"/>
              <w:rPr>
                <w:sz w:val="1"/>
                <w:szCs w:val="1"/>
                <w:color w:val="auto"/>
              </w:rPr>
            </w:pPr>
          </w:p>
        </w:tc>
      </w:tr>
      <w:tr>
        <w:trPr>
          <w:trHeight w:val="87"/>
        </w:trPr>
        <w:tc>
          <w:tcPr>
            <w:tcW w:w="120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fact for Mr. Eilam</w:t>
            </w:r>
          </w:p>
        </w:tc>
        <w:tc>
          <w:tcPr>
            <w:tcW w:w="1000" w:type="dxa"/>
            <w:vAlign w:val="bottom"/>
            <w:gridSpan w:val="2"/>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6628" TargetMode="External"/><Relationship Id="rId14" Type="http://schemas.openxmlformats.org/officeDocument/2006/relationships/hyperlink" Target="http://www.sec.gov/cgi-bin/browse-edgar?action=getcompany&amp;CIK=00018182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2026-05-26T07:29:59Z</dcterms:created>
  <dcterms:modified xsi:type="dcterms:W3CDTF">2026-05-26T07:29:59Z</dcterms:modified>
</cp:coreProperties>
</file>